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811-1_s3asr.htm"/>
        <w:bookmarkStart w:id="1" w:name="kstm2624811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September 11,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35" w:after="283"/>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4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1"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0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35"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before="12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4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2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4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ZENAS BIOPHARMA,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80" w:before="0"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(Exact name of registrant as specified in its charter) </w:t>
      </w:r>
    </w:p>
    <w:tbl>
      <w:tblPr>
        <w:tblW w:w="5766" w:type="dxa"/>
        <w:jc w:val="left"/>
        <w:tblInd w:w="540" w:type="dxa"/>
        <w:tblLayout w:type="fixed"/>
        <w:tblCellMar>
          <w:top w:w="0" w:type="dxa"/>
          <w:left w:w="0" w:type="dxa"/>
          <w:bottom w:w="0" w:type="dxa"/>
          <w:right w:w="0" w:type="dxa"/>
        </w:tblCellMar>
      </w:tblPr>
      <w:tblGrid>
        <w:gridCol w:w="124"/>
        <w:gridCol w:w="3319"/>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319"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50" w:before="35" w:after="283"/>
              <w:jc w:val="center"/>
              <w:rPr/>
            </w:pPr>
            <w:r>
              <w:rPr>
                <w:spacing w:val="3"/>
              </w:rPr>
              <w:t>(State or other jurisdiction</w:t>
            </w:r>
            <w:r>
              <w:rPr/>
              <w:t xml:space="preserve"> </w:t>
              <w:br/>
            </w:r>
            <w:r>
              <w:rPr>
                <w:spacing w:val="3"/>
              </w:rPr>
              <w:t xml:space="preserve">of 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8"/>
              </w:rPr>
            </w:pPr>
            <w:r>
              <w:rPr>
                <w:b/>
                <w:spacing w:val="-4"/>
                <w:sz w:val="18"/>
              </w:rPr>
              <w:t>93-2749244</w:t>
            </w:r>
            <w:r>
              <w:rPr>
                <w:b/>
                <w:sz w:val="18"/>
              </w:rPr>
              <w:t xml:space="preserve"> </w:t>
            </w:r>
          </w:p>
          <w:p>
            <w:pPr>
              <w:pStyle w:val="TableContents"/>
              <w:bidi w:val="0"/>
              <w:spacing w:lineRule="atLeast" w:line="150" w:before="35" w:after="283"/>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852 Winter Street, Suite 250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Waltham, Massachusetts 02451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(857) 271-2954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35"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(Address, including zip code, and telephone number, including area code, of registrant’s principal executive offices) </w:t>
      </w:r>
    </w:p>
    <w:p>
      <w:pPr>
        <w:pStyle w:val="TextBody"/>
        <w:bidi w:val="0"/>
        <w:spacing w:before="11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9"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Leon O. Moulder, Jr.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Chief Executive Officer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Zenas BioPharma,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852 Winter Street, Suite 250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Waltham, Massachusetts 02451</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(857) 271-2954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35"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(Name, address including zip code, and telephone number, including area code, of agent for service) </w:t>
      </w:r>
    </w:p>
    <w:p>
      <w:pPr>
        <w:pStyle w:val="TextBody"/>
        <w:bidi w:val="0"/>
        <w:spacing w:lineRule="atLeast" w:line="20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With copies to:</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Thomas Danielski</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Ropes &amp; Gray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Prudential Tower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800 Boylston St.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Boston, Massachusetts 02199</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(617) 951-7000</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8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From time to time after the effectiveness of the registration statement.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35" w:after="283"/>
        <w:jc w:val="center"/>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(Approximate date of commencement of proposed sale to the public) </w:t>
      </w:r>
    </w:p>
    <w:p>
      <w:pPr>
        <w:pStyle w:val="TextBody"/>
        <w:bidi w:val="0"/>
        <w:spacing w:lineRule="atLeast" w:line="20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188" w:type="dxa"/>
        <w:jc w:val="left"/>
        <w:tblInd w:w="540" w:type="dxa"/>
        <w:tblLayout w:type="fixed"/>
        <w:tblCellMar>
          <w:top w:w="0" w:type="dxa"/>
          <w:left w:w="0" w:type="dxa"/>
          <w:bottom w:w="0" w:type="dxa"/>
          <w:right w:w="0" w:type="dxa"/>
        </w:tblCellMar>
      </w:tblPr>
      <w:tblGrid>
        <w:gridCol w:w="124"/>
        <w:gridCol w:w="2156"/>
        <w:gridCol w:w="109"/>
        <w:gridCol w:w="109"/>
        <w:gridCol w:w="2536"/>
        <w:gridCol w:w="154"/>
      </w:tblGrid>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lineRule="atLeast" w:line="178" w:before="0" w:after="0"/>
              <w:ind w:left="178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1303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130300" cy="525780"/>
                              </a:xfrm>
                              <a:prstGeom prst="rect"/>
                              <a:solidFill>
                                <a:srgbClr val="FFFFFF"/>
                              </a:solidFill>
                            </wps:spPr>
                            <wps:txbx>
                              <w:txbxContent>
                                <w:p>
                                  <w:pPr>
                                    <w:pStyle w:val="TextBody"/>
                                    <w:bidi w:val="0"/>
                                    <w:spacing w:lineRule="atLeast" w:line="178"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8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8"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8"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3716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371600" cy="350520"/>
                              </a:xfrm>
                              <a:prstGeom prst="rect"/>
                              <a:solidFill>
                                <a:srgbClr val="FFFFFF"/>
                              </a:solidFill>
                            </wps:spPr>
                            <wps:txbx>
                              <w:txbxContent>
                                <w:p>
                                  <w:pPr>
                                    <w:pStyle w:val="TextBody"/>
                                    <w:bidi w:val="0"/>
                                    <w:spacing w:lineRule="atLeast" w:line="178"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0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8"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lineRule="atLeast" w:line="178" w:before="0" w:after="0"/>
              <w:ind w:left="178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303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130300" cy="525780"/>
                              </a:xfrm>
                              <a:prstGeom prst="rect"/>
                              <a:solidFill>
                                <a:srgbClr val="FFFFFF"/>
                              </a:solidFill>
                            </wps:spPr>
                            <wps:txbx>
                              <w:txbxContent>
                                <w:p>
                                  <w:pPr>
                                    <w:pStyle w:val="TextBody"/>
                                    <w:bidi w:val="0"/>
                                    <w:spacing w:lineRule="atLeast" w:line="178"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8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8"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8" w:before="0" w:after="0"/>
              <w:ind w:left="216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3716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78"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8"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8" w:before="0" w:after="0"/>
              <w:ind w:left="2160" w:right="0" w:hanging="0"/>
              <w:jc w:val="left"/>
              <w:rPr/>
            </w:pPr>
            <w:r>
              <w:rPr>
                <w:spacing w:val="4"/>
              </w:rPr>
              <w:t>☒</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716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78"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8"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38"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0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ZENAS BIOPHARMA,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7,000,000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resale or other disposition from time to time of up to 7,000,000 shares (the “Shares”) of our common stock, par value $0.0001 per share (the “Common Stock”), by the selling stockholder (the “Selling Stockholder”) identified in this prospectus, including its transferees, pledgees, donees or successors.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acquired the Shares pursuant to the terms of a subscription agreement (the “Subscription Agreement”) dated October 7, 2025, between us and InnoCare Pharma Inc. (“InnoCare”) in a transaction exempt from registration under the Securities Act of 1933, as amended (the “Securities Act”), in reliance on Section 4(a)(2) thereof. We are filing the registration statement on Form S-3ASR to fulfill our contractual obligations with the Selling Stockholder to provide for the resale by the Selling Stockholder of the Shares offered hereby. See “Selling Stockholder” beginning on page 11 for more information about the Selling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may, from time to time, sell, transfer or otherwise dispose of any or all of their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See “Plan of Distribution” which begins on page 13. We do not know when or in what amount the Selling Stockholder may dispose of or offer for sale the shares covered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offering any shares of Common Stock under this prospectus. We will not receive any of the proceeds from the sale of Common Stock by the Selling Stockholder. All expenses of registration incurred in connection with this offering are being borne by us. The Selling Stockholder will bear all discounts and commissions, if any, and expenses incurred by them for brokerage, accounting, tax or legal services or any other expenses incurred in their sale of shares of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“ZBIO.” On September 10, 2026, the last reported sale price of our Common Stock was $32.29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the entire prospectus and any amendments or supplements carefully before you make your investment decision.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risks. See “Risk Factors” on page </w:t>
      </w:r>
      <w:hyperlink w:anchor="RIS">
        <w:r>
          <w:rPr>
            <w:rStyle w:val="InternetLink"/>
          </w:rPr>
          <w:t>4</w:t>
        </w:r>
      </w:hyperlink>
      <w:r>
        <w:rPr>
          <w:rFonts w:ascii="Times New Roman;Times;serif" w:hAnsi="Times New Roman;Times;serif"/>
          <w:b/>
          <w:i w:val="false"/>
          <w:caps w:val="false"/>
          <w:smallCaps w:val="false"/>
          <w:color w:val="000000"/>
          <w:spacing w:val="-4"/>
          <w:sz w:val="20"/>
        </w:rPr>
        <w:t>, and any applicable prospectus supplement, and under similar headings in the other documents that are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dated September 11,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369" w:type="dxa"/>
        <w:jc w:val="left"/>
        <w:tblInd w:w="1393" w:type="dxa"/>
        <w:tblLayout w:type="fixed"/>
        <w:tblCellMar>
          <w:top w:w="0" w:type="dxa"/>
          <w:left w:w="0" w:type="dxa"/>
          <w:bottom w:w="0" w:type="dxa"/>
          <w:right w:w="0" w:type="dxa"/>
        </w:tblCellMar>
      </w:tblPr>
      <w:tblGrid>
        <w:gridCol w:w="124"/>
        <w:gridCol w:w="6136"/>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136" w:type="dxa"/>
            <w:tcBorders/>
            <w:shd w:fill="CCEEFF" w:val="clear"/>
            <w:vAlign w:val="center"/>
          </w:tcPr>
          <w:p>
            <w:pPr>
              <w:pStyle w:val="TableContents"/>
              <w:bidi w:val="0"/>
              <w:spacing w:before="0" w:after="0"/>
              <w:jc w:val="left"/>
              <w:rPr/>
            </w:pPr>
            <w:hyperlink w:anchor="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ATP">
              <w:r>
                <w:rPr>
                  <w:rStyle w:val="InternetLink"/>
                  <w:spacing w:val="4"/>
                </w:rPr>
                <w:t>1</w:t>
              </w:r>
            </w:hyperlink>
            <w:hyperlink w:anchor="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36" w:type="dxa"/>
            <w:tcBorders/>
            <w:vAlign w:val="center"/>
          </w:tcPr>
          <w:p>
            <w:pPr>
              <w:pStyle w:val="TableContents"/>
              <w:bidi w:val="0"/>
              <w:spacing w:before="0" w:after="0"/>
              <w:jc w:val="left"/>
              <w:rPr/>
            </w:pPr>
            <w:hyperlink w:anchor="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PRSU">
              <w:r>
                <w:rPr>
                  <w:rStyle w:val="InternetLink"/>
                  <w:spacing w:val="4"/>
                </w:rPr>
                <w:t>2</w:t>
              </w:r>
            </w:hyperlink>
            <w:hyperlink w:anchor="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36" w:type="dxa"/>
            <w:tcBorders/>
            <w:shd w:fill="CCEEFF" w:val="clear"/>
            <w:vAlign w:val="center"/>
          </w:tcPr>
          <w:p>
            <w:pPr>
              <w:pStyle w:val="TableContents"/>
              <w:bidi w:val="0"/>
              <w:spacing w:before="0" w:after="0"/>
              <w:jc w:val="left"/>
              <w:rPr/>
            </w:pPr>
            <w:hyperlink w:anchor="RIS">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RIS">
              <w:r>
                <w:rPr>
                  <w:rStyle w:val="InternetLink"/>
                  <w:spacing w:val="4"/>
                </w:rPr>
                <w:t>4</w:t>
              </w:r>
            </w:hyperlink>
            <w:hyperlink w:anchor="R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36" w:type="dxa"/>
            <w:tcBorders/>
            <w:vAlign w:val="center"/>
          </w:tcPr>
          <w:p>
            <w:pPr>
              <w:pStyle w:val="TableContents"/>
              <w:bidi w:val="0"/>
              <w:spacing w:before="0" w:after="0"/>
              <w:jc w:val="left"/>
              <w:rPr/>
            </w:pPr>
            <w:hyperlink w:anchor="INTR">
              <w:r>
                <w:rPr>
                  <w:rStyle w:val="InternetLink"/>
                  <w:spacing w:val="4"/>
                </w:rPr>
                <w:t xml:space="preserve">INNOCARE TRANSACTION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INTR">
              <w:r>
                <w:rPr>
                  <w:rStyle w:val="InternetLink"/>
                  <w:spacing w:val="4"/>
                </w:rPr>
                <w:t>5</w:t>
              </w:r>
            </w:hyperlink>
            <w:hyperlink w:anchor="IN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36" w:type="dxa"/>
            <w:tcBorders/>
            <w:shd w:fill="CCEEFF" w:val="clear"/>
            <w:vAlign w:val="center"/>
          </w:tcPr>
          <w:p>
            <w:pPr>
              <w:pStyle w:val="TableContents"/>
              <w:bidi w:val="0"/>
              <w:spacing w:before="0" w:after="0"/>
              <w:jc w:val="left"/>
              <w:rPr/>
            </w:pPr>
            <w:hyperlink w:anchor="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DOCS">
              <w:r>
                <w:rPr>
                  <w:rStyle w:val="InternetLink"/>
                  <w:spacing w:val="4"/>
                </w:rPr>
                <w:t>6</w:t>
              </w:r>
            </w:hyperlink>
            <w:hyperlink w:anchor="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36" w:type="dxa"/>
            <w:tcBorders/>
            <w:vAlign w:val="center"/>
          </w:tcPr>
          <w:p>
            <w:pPr>
              <w:pStyle w:val="TableContents"/>
              <w:bidi w:val="0"/>
              <w:spacing w:before="0" w:after="0"/>
              <w:jc w:val="left"/>
              <w:rPr/>
            </w:pPr>
            <w:hyperlink w:anchor="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FOST">
              <w:r>
                <w:rPr>
                  <w:rStyle w:val="InternetLink"/>
                  <w:spacing w:val="4"/>
                </w:rPr>
                <w:t>7</w:t>
              </w:r>
            </w:hyperlink>
            <w:hyperlink w:anchor="FO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36" w:type="dxa"/>
            <w:tcBorders/>
            <w:shd w:fill="CCEEFF" w:val="clear"/>
            <w:vAlign w:val="center"/>
          </w:tcPr>
          <w:p>
            <w:pPr>
              <w:pStyle w:val="TableContents"/>
              <w:bidi w:val="0"/>
              <w:spacing w:before="0" w:after="0"/>
              <w:jc w:val="left"/>
              <w:rPr/>
            </w:pPr>
            <w:hyperlink w:anchor="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UOP">
              <w:r>
                <w:rPr>
                  <w:rStyle w:val="InternetLink"/>
                  <w:spacing w:val="4"/>
                </w:rPr>
                <w:t>9</w:t>
              </w:r>
            </w:hyperlink>
            <w:hyperlink w:anchor="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36" w:type="dxa"/>
            <w:tcBorders/>
            <w:vAlign w:val="center"/>
          </w:tcPr>
          <w:p>
            <w:pPr>
              <w:pStyle w:val="TableContents"/>
              <w:bidi w:val="0"/>
              <w:spacing w:before="0" w:after="0"/>
              <w:jc w:val="left"/>
              <w:rPr/>
            </w:pPr>
            <w:hyperlink w:anchor="SEST">
              <w:r>
                <w:rPr>
                  <w:rStyle w:val="InternetLink"/>
                  <w:spacing w:val="4"/>
                </w:rPr>
                <w:t xml:space="preserve">SELLING STOCKHOLDER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SEST">
              <w:r>
                <w:rPr>
                  <w:rStyle w:val="InternetLink"/>
                  <w:spacing w:val="4"/>
                </w:rPr>
                <w:t>10</w:t>
              </w:r>
            </w:hyperlink>
            <w:hyperlink w:anchor="SE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36" w:type="dxa"/>
            <w:tcBorders/>
            <w:shd w:fill="CCEEFF" w:val="clear"/>
            <w:vAlign w:val="center"/>
          </w:tcPr>
          <w:p>
            <w:pPr>
              <w:pStyle w:val="TableContents"/>
              <w:bidi w:val="0"/>
              <w:spacing w:before="0" w:after="0"/>
              <w:jc w:val="left"/>
              <w:rPr/>
            </w:pPr>
            <w:hyperlink w:anchor="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POD">
              <w:r>
                <w:rPr>
                  <w:rStyle w:val="InternetLink"/>
                  <w:spacing w:val="4"/>
                </w:rPr>
                <w:t>12</w:t>
              </w:r>
            </w:hyperlink>
            <w:hyperlink w:anchor="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36" w:type="dxa"/>
            <w:tcBorders/>
            <w:vAlign w:val="center"/>
          </w:tcPr>
          <w:p>
            <w:pPr>
              <w:pStyle w:val="TableContents"/>
              <w:bidi w:val="0"/>
              <w:spacing w:before="0" w:after="0"/>
              <w:jc w:val="left"/>
              <w:rPr/>
            </w:pPr>
            <w:hyperlink w:anchor="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LEMA">
              <w:r>
                <w:rPr>
                  <w:rStyle w:val="InternetLink"/>
                  <w:spacing w:val="4"/>
                </w:rPr>
                <w:t>13</w:t>
              </w:r>
            </w:hyperlink>
            <w:hyperlink w:anchor="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36" w:type="dxa"/>
            <w:tcBorders/>
            <w:shd w:fill="CCEEFF" w:val="clear"/>
            <w:vAlign w:val="center"/>
          </w:tcPr>
          <w:p>
            <w:pPr>
              <w:pStyle w:val="TableContents"/>
              <w:bidi w:val="0"/>
              <w:spacing w:before="0" w:after="0"/>
              <w:jc w:val="left"/>
              <w:rPr/>
            </w:pPr>
            <w:hyperlink w:anchor="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EXP">
              <w:r>
                <w:rPr>
                  <w:rStyle w:val="InternetLink"/>
                  <w:spacing w:val="4"/>
                </w:rPr>
                <w:t>13</w:t>
              </w:r>
            </w:hyperlink>
            <w:hyperlink w:anchor="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36" w:type="dxa"/>
            <w:tcBorders/>
            <w:vAlign w:val="center"/>
          </w:tcPr>
          <w:p>
            <w:pPr>
              <w:pStyle w:val="TableContents"/>
              <w:bidi w:val="0"/>
              <w:spacing w:before="0" w:after="0"/>
              <w:jc w:val="left"/>
              <w:rPr/>
            </w:pPr>
            <w:hyperlink w:anchor="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WYCF">
              <w:r>
                <w:rPr>
                  <w:rStyle w:val="InternetLink"/>
                  <w:spacing w:val="4"/>
                </w:rPr>
                <w:t>14</w:t>
              </w:r>
            </w:hyperlink>
            <w:hyperlink w:anchor="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36" w:type="dxa"/>
            <w:tcBorders/>
            <w:shd w:fill="CCEEFF" w:val="clear"/>
            <w:vAlign w:val="center"/>
          </w:tcPr>
          <w:p>
            <w:pPr>
              <w:pStyle w:val="TableContents"/>
              <w:bidi w:val="0"/>
              <w:spacing w:before="0" w:after="0"/>
              <w:jc w:val="left"/>
              <w:rPr/>
            </w:pPr>
            <w:hyperlink w:anchor="IODB">
              <w:r>
                <w:rPr>
                  <w:rStyle w:val="InternetLink"/>
                  <w:spacing w:val="4"/>
                </w:rPr>
                <w:t xml:space="preserve">INCORPORATION OF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IODB">
              <w:r>
                <w:rPr>
                  <w:rStyle w:val="InternetLink"/>
                  <w:spacing w:val="4"/>
                </w:rPr>
                <w:t>14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(the “SEC”) as a “well-known seasoned issuer” as defined in Rule 405 under the Securities Act, using the “shelf” registration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information and documents incorporated by reference carefully. Such documents contain important information you should consider when making your investment decision. See “Where You Can Find More Information” and “Incorporation of Documents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be supplemented from time to time to add, update or change information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Neither we nor the Selling Stockholder has authorized any other person to provide you with different information. If anyone provides you with different or inconsistent information, you should not rely on it.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that is incorporated by reference, is accurate as of the date on the front of those documents only,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“Zenas,” the “Company,” “we,” “us,” “our” or similar terms refer to Zenas BioPharma, Inc. and our subsidiaries on a consolidated basis, as appropriate, unless the context otherwise requires.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and Tradenames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Zenas BioPharma word mark, logo mark, and the “lightning bolt” design are trademarks of Zenas BioPharma, Inc. or its affiliated companies. This prospectus and any applicable prospectus supplement and documents incorporated by reference herein and therein contain references to our trademarks and to trademarks belonging to other entities. Each of the other trademarks, trade names and service marks included in this prospectus belongs to its respective holder. Solely for convenience, trademarks, trade names and service marks referred to in this prospectus, including logos, artwork and other visual displays,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3"/>
          <w:sz w:val="15"/>
        </w:rPr>
        <w:t>TM</w:t>
      </w:r>
      <w:r>
        <w:rPr>
          <w:rFonts w:ascii="Times New Roman;Times;serif" w:hAnsi="Times New Roman;Times;serif"/>
          <w:b w:val="false"/>
          <w:i w:val="false"/>
          <w:caps w:val="false"/>
          <w:smallCaps w:val="false"/>
          <w:color w:val="000000"/>
          <w:spacing w:val="4"/>
          <w:sz w:val="20"/>
        </w:rPr>
        <w:t xml:space="preserve"> symbols, but such references are not intended to indicate in any way that we will not assert, to the fullest extent under applicable law, our rights or the rights of the applicable licensor to these trademarks, trade names and service marks. We do not intend our use or display of other entities’ trade names, trademarks or service marks to imply a relationship with, or endorsement or sponsorship of us by, any other entity.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included or incorporated by reference in this prospectus and does not contain all of the information that may be important to you. You should carefully review this entire prospectus and any supplements to this prospectus, including the risk factors and financial statements included or incorporated by reference herein or therein.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developing obexelimab as a potential I&amp;I franchise for patients in several autoimmune diseases, representing substantial commercial opportunities individually and in the aggregate. We are conducting clinical trials in IgG4-RD through a registration-directed Phase 3 trial which reported topline data in January 2026, relapsing multiple sclerosis (“RMS”) through an ongoing Phase 2, double-blind, randomized, placebo-controlled trial which reported topline data in October 2025 and systemic lupus erythematosus (“SLE”) through an ongoing Phase 2, double-blind, randomized, placebo-controlled trial, for which we expect to report topline results, including biomarker data, in the fourth quarter of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January 2026, we reported positive results from the Phase 3 trial of obexelimab in patients with IgG4-RD. Obexelimab met the primary endpoint, demonstrating a highly statistically significant and clinically meaningful 56% reduction in the risk of IgG4-RD flare compared to placebo (Hazard Ratio 0.44, p=0.0005) and also met and demonstrated highly statistically significant activity compared to placebo on all four key secondary endpoints. Obexelimab was well tolerated with a safety profile consistent with that observed in previously completed clinical trials. Based on these results, we submitted the obexelimab Biologics License Application (“BLA”) to the FDA for the treatment of IgG4-RD in May 2026. In August 2026, the FDA accepted the Company’s BLA and assigned a Prescription Drug User Fee Act (“PDUFA”) target date of May 27, 2027. We intend to submit a Marketing Authorization Application (“MAA”) to the European Medicines Agency in the second half of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October 2025, we entered into an exclusive license agreement (the “License Agreement”) dated October 7, 2025, with InnoCare, pursuant to which we were granted exclusive rights to develop, manufacture, and commercialize orelabrutinib, a Bruton’s Tyrosine Kinase inhibitor (“BTK”), for multiple sclerosis (“MS”) worldwide, and in all non-oncology indications worldwide excluding mainland China, Hong Kong, Macau and Taiwan (“greater China”), and Brunei, Burma, Cambodia, Timor-Leste, Indonesia, Laos, Malaysia, Philippines, Singapore, Thailand and Vietnam (“Southeast Asia”), as well as two early-development product candidates: ZB021, an IL-17AA/AF inhibitor, in all fields of use worldwide excluding greater China and Southeast Asia, and ZB022, a TYK2 inhibitor, in all fields of use worldwide. Orelabrutinib is a highly selective and central nervous system (“CNS”) penetrant, oral small molecule BTK inhibitor. Orelabrutinib is designed to bind irreversibly to BTK with minimal off-target effects, which may potentially reduce certain side effects. We believe orelabrutinib is designed to efficiently cross the blood-brain barrier, reaching therapeutic levels within the CNS to directly target inflammation in diseases like 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September 2025, the Phase 3 PriMroSe trial of orelabrutinib in patients with primary progressive multiple sclerosis (“PPMS”) was initiated. The PriMroSe trial is a global, multicenter, randomized, double-blind, placebo-controlled clinical trial evaluating the safety and efficacy of orelabrutinib dosed 80 mg once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daily (“QD”) compared to placebo in patients with PPMS, with a primary endpoint of time to onset of 12-week composite confirmed disability progression. In March of 2026, we initiated a second global, Phase 3, multicenter, randomized, double-blind, placebo-controlled clinical trial evaluating orelabrutinib dosed 80 mg QD compared to placebo in patients with non-active secondary progressive multiple sclerosis, with a primary endpoint of time to onset of 24-week CDP. ZB021 is an oral IL-17AA/AF inhibitor designed to block both IL-17AA homodimer and IL-17AF heterodimer signaling. Preclinical studies for ZB021 have shown favorable PK and ADME properties. ZB021 achieved comparable activity in vivo to a reference anti-IL-17 biologic in a rat CIA model. We, along with our partner, InnoCare, initiated a Phase 1 clinical study in the second quarter of 2026. ZB022 is an oral, brain-penetrant TYK2-JH2 inhibitor, currently in IND-enabling studies. Subject to the results of Investigational New Drug (“IND”) enabling studies, we expect to initiate a Phase 1 clinical study in 2027. We are also advancing ZB014, a half-life extended anti-CD-19 and FcγRIIb monoclonal antibody, currently in IND-enabling studies. Subject to the results of IND-enabling studies, we expect to initiate a Phase 1 clinical study in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principal executive offices are located at 852 Winter Street, Suite 250, Waltham, MA 02451, and our telephone number is (857) 271-2954. Our website address is: www.zenasbio.com. We have included our website address as a factual reference and do not intend it to be an active link to our website. The information that can be accessed through our website is not part of this prospectus, and investors should not rely on any such information in deciding whether to purchase our Common Stock.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RI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our Common Stock involves risks. See “Item 1A — Risk Factors” in our most recent Annual Report on Form 10-K incorporated by reference in this prospectus and in any subsequent Quarterly Reports on Form 10-Q, as may be updated by subsequent annual, quarterly and other reports that are incorporated by reference into this prospectus for a discussion of the factors you should carefully consider before deciding to purchase our securities. Before making a decision about investing in our securities, you should carefully consider these risks as well as other information we include or incorporate by reference into this prospectus. The risks and uncertainties we have described are not the only ones facing our Company. Additional risks and uncertainties not presently known to us or that we currently deem immaterial may also affect our business operations, operating results and financial condition.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INT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INNOCARE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7, 2025, the Company entered into the License Agreement with InnoCare, granting the Company global development and commercialization rights to orelabrutinib for MS and across all therapeutic areas other than oncology outside of greater China and Southeast Asia. The Company also secured rights to ZB021, an oral, IL-17AA/AF inhibitor, and ZB022, an oral, brain-penetrant, TYK2 inhibitor.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License Agreement, we made upfront cash payments totaling $35.0 million and issued 5,000,000 shares of Common Stock (the “</w:t>
      </w:r>
      <w:r>
        <w:rPr>
          <w:rFonts w:ascii="Times New Roman;Times;serif" w:hAnsi="Times New Roman;Times;serif"/>
          <w:b w:val="false"/>
          <w:i w:val="false"/>
          <w:caps w:val="false"/>
          <w:smallCaps w:val="false"/>
          <w:color w:val="000000"/>
          <w:spacing w:val="4"/>
          <w:sz w:val="20"/>
          <w:u w:val="single"/>
        </w:rPr>
        <w:t>Private Placement</w:t>
      </w:r>
      <w:r>
        <w:rPr>
          <w:rFonts w:ascii="Times New Roman;Times;serif" w:hAnsi="Times New Roman;Times;serif"/>
          <w:b w:val="false"/>
          <w:i w:val="false"/>
          <w:caps w:val="false"/>
          <w:smallCaps w:val="false"/>
          <w:color w:val="000000"/>
          <w:spacing w:val="4"/>
          <w:sz w:val="20"/>
        </w:rPr>
        <w:t>”) to InnoCare, pursuant to the terms of a Subscription Agreement between the Company and InnoCare (the “</w:t>
      </w:r>
      <w:r>
        <w:rPr>
          <w:rFonts w:ascii="Times New Roman;Times;serif" w:hAnsi="Times New Roman;Times;serif"/>
          <w:b w:val="false"/>
          <w:i w:val="false"/>
          <w:caps w:val="false"/>
          <w:smallCaps w:val="false"/>
          <w:color w:val="000000"/>
          <w:spacing w:val="4"/>
          <w:sz w:val="20"/>
          <w:u w:val="single"/>
        </w:rPr>
        <w:t>Subscription Agreement</w:t>
      </w:r>
      <w:r>
        <w:rPr>
          <w:rFonts w:ascii="Times New Roman;Times;serif" w:hAnsi="Times New Roman;Times;serif"/>
          <w:b w:val="false"/>
          <w:i w:val="false"/>
          <w:caps w:val="false"/>
          <w:smallCaps w:val="false"/>
          <w:color w:val="000000"/>
          <w:spacing w:val="4"/>
          <w:sz w:val="20"/>
        </w:rPr>
        <w:t xml:space="preserve">”) in a private placement transaction. The Subscription Agreement provides that InnoCare may not transfer any of the Shares until October 7, 2026, and thereafter may not transfer Shares during any one month in an amount that exceeds the greater of (i) one percent of the outstanding Common Stock as most recently reported by the Company publicly and (ii) the average weekly reported volume of trading in the Common Stock during the four preceding calendar weeks. These restrictions do not apply to transfers to an affiliate of InnoCare, to the Company or in connection with a change of control of the Company approved by the board of directors of the Company. Further, in August 2026, the Company achieved a regulatory milestone and became obligated to make an additional one-time non-refundable cash payment of $25.0 million and issue an additional 2,000,000 shares of Common Stock to InnoCare.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Private Placement, the Company and InnoCare also entered into a Registration Rights Agreement, dated October 7, 2025 (the “</w:t>
      </w:r>
      <w:r>
        <w:rPr>
          <w:rFonts w:ascii="Times New Roman;Times;serif" w:hAnsi="Times New Roman;Times;serif"/>
          <w:b w:val="false"/>
          <w:i w:val="false"/>
          <w:caps w:val="false"/>
          <w:smallCaps w:val="false"/>
          <w:color w:val="000000"/>
          <w:spacing w:val="4"/>
          <w:sz w:val="20"/>
          <w:u w:val="single"/>
        </w:rPr>
        <w:t>Registration Rights Agreement</w:t>
      </w:r>
      <w:r>
        <w:rPr>
          <w:rFonts w:ascii="Times New Roman;Times;serif" w:hAnsi="Times New Roman;Times;serif"/>
          <w:b w:val="false"/>
          <w:i w:val="false"/>
          <w:caps w:val="false"/>
          <w:smallCaps w:val="false"/>
          <w:color w:val="000000"/>
          <w:spacing w:val="4"/>
          <w:sz w:val="20"/>
        </w:rPr>
        <w:t xml:space="preserve">”). Pursuant to the Registration Rights Agreement, we agreed to prepare and file a registration statement with the SEC covering the resale of such shares of Common Stock issued to InnoCare under the License Agreement and to use its reasonable best efforts to cause the registration statement to be declared effective by the SEC as soon as practicable thereafter. The registration statement of which this prospectus is a part has been filed in accordance with the License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DOC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description of our Common Stock is incorporated by reference to </w:t>
      </w:r>
      <w:hyperlink r:id="rId2">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2024, as filed with the SEC on March 11, 2025, including any amendments or reports filed for the purpose of updating such description.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FOST"/>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prospectus supplement and the other documents we have filed with the SEC that are incorporated herein by reference, contain forward-looking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other than statements of historical facts contained in or incorporated by reference into this prospectus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commercial opportunities stemming from the development of our product candidates for multiple immunology and inflammation diseases; </w:t>
      </w:r>
      <w:r>
        <mc:AlternateContent>
          <mc:Choice Requires="wps">
            <w:drawing>
              <wp:anchor behindDoc="0" distT="7239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if approved, ultimately commercialize our lead product candidates and, with partners, our other programs; </w:t>
      </w:r>
      <w:r>
        <mc:AlternateContent>
          <mc:Choice Requires="wps">
            <w:drawing>
              <wp:anchor behindDoc="0" distT="7239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or maintain orphan drug designation for certain of our product candidates; </w:t>
      </w:r>
      <w:r>
        <mc:AlternateContent>
          <mc:Choice Requires="wps">
            <w:drawing>
              <wp:anchor behindDoc="0" distT="7239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 </w:t>
      </w:r>
      <w:r>
        <mc:AlternateContent>
          <mc:Choice Requires="wps">
            <w:drawing>
              <wp:anchor behindDoc="0" distT="7239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clinical development of our product candidates; </w:t>
      </w:r>
      <w:r>
        <mc:AlternateContent>
          <mc:Choice Requires="wps">
            <w:drawing>
              <wp:anchor behindDoc="0" distT="7239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clinical differentiation of our product candidates; </w:t>
      </w:r>
      <w:r>
        <mc:AlternateContent>
          <mc:Choice Requires="wps">
            <w:drawing>
              <wp:anchor behindDoc="0" distT="7239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product candidates that have broad therapeutic potential; </w:t>
      </w:r>
      <w:r>
        <mc:AlternateContent>
          <mc:Choice Requires="wps">
            <w:drawing>
              <wp:anchor behindDoc="0" distT="7239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utilize our business development strategy and expertise to build a balanced portfolio; </w:t>
      </w:r>
      <w:r>
        <mc:AlternateContent>
          <mc:Choice Requires="wps">
            <w:drawing>
              <wp:anchor behindDoc="0" distT="7239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collaborations and strategic partnerships to maximize the value of our portfolio; </w:t>
      </w:r>
      <w:r>
        <mc:AlternateContent>
          <mc:Choice Requires="wps">
            <w:drawing>
              <wp:anchor behindDoc="0" distT="7239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build our operational and commercial capabilities for supplying and marketing our products, if approved, in key markets; </w:t>
      </w:r>
      <w:r>
        <mc:AlternateContent>
          <mc:Choice Requires="wps">
            <w:drawing>
              <wp:anchor behindDoc="0" distT="7239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the biopharmaceutical sector and issuance of securities analysts’ reports or recommendations; </w:t>
      </w:r>
      <w:r>
        <mc:AlternateContent>
          <mc:Choice Requires="wps">
            <w:drawing>
              <wp:anchor behindDoc="0" distT="7239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volume of our Common Stock;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obtain additional funding;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initiate, recruit and enroll patients in and conduct our clinical trials at the pace that we project;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regulatory approval of our product candidates, and any related restrictions, limitations or warnings in the label of any of our product candidates, if approved;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third parties to manufacture drug substance and drug product for use in our clinical trials;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and recruit key personnel;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adequate intellectual property rights;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government and third-party payor coverage and reimbursement;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healthcare reforms, including those affecting the delivery of or payment for healthcare products and services;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federal, state and foreign regulatory requirements;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our expenses, ongoing losses, capital requirements and our needs for or ability to obtain additional financing;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existing cash and the sufficiency of our existing cash and proceeds from future capital-raising efforts, if any, to fund our future operating expenses and capital expenditure requirements; </w:t>
      </w:r>
      <w:r>
        <mc:AlternateContent>
          <mc:Choice Requires="wps">
            <w:drawing>
              <wp:anchor behindDoc="0" distT="0" distB="0" distL="254000" distR="0" simplePos="0" locked="0" layoutInCell="1" allowOverlap="1" relativeHeight="30">
                <wp:simplePos x="0" y="0"/>
                <wp:positionH relativeFrom="column">
                  <wp:align>left</wp:align>
                </wp:positionH>
                <wp:positionV relativeFrom="line">
                  <wp:posOffset>635</wp:posOffset>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strategic collaboration agreements;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strategic collaborations or arrangements, including potential business development opportunities and potential licensing partnerships, and our ability to attract collaborators with development, regulatory and commercialization expertise;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stock by us, our insiders or our stockholders;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time during which we will be an emerging growth company and smaller reporting company under the Jumpstart Our Business Startups Act of 2012, as amended;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industry, geopolitical and market conditions, such as military conflict or war, inflation and financial institution instability, tariffs and other trade measures, or pandemic or epidemic disease outbreaks, many of which are beyond our control;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departures of senior management, directors or key personnel;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and projections relating to our competitors or our industry; and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included under the section heading “Risk Factors” contained in this prospectus.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forward-looking statements in this prospectus may prove incorrect. These forward-looking statements speak only as of the date of this prospectus and are subject to a number of known and unknown risks, uncertainties and assumptions, including those described under the sections titled “Risk Factors” and “Management’s Discussion and Analysis of Financial Condition and Results of Operations” contained in our </w:t>
      </w:r>
      <w:hyperlink r:id="rId3">
        <w:r>
          <w:rPr>
            <w:rStyle w:val="InternetLink"/>
          </w:rPr>
          <w:t>Annual Report on Form 10-K for the year ended December 31, 2025, as filed with the SEC on March 16, 2026</w:t>
        </w:r>
      </w:hyperlink>
      <w:r>
        <w:rPr>
          <w:rFonts w:ascii="Times New Roman;Times;serif" w:hAnsi="Times New Roman;Times;serif"/>
          <w:b w:val="false"/>
          <w:i w:val="false"/>
          <w:caps w:val="false"/>
          <w:smallCaps w:val="false"/>
          <w:color w:val="000000"/>
          <w:spacing w:val="4"/>
          <w:sz w:val="20"/>
        </w:rPr>
        <w:t xml:space="preserve">, any subsequent Quarterly Report on Form 10-Q, and as described or may be described in any subsequent Annual Report on Form 10-K, each incorporated by reference in this prospectus and any other documents we file with the SEC that are deemed incorporated by reference into this prospectus.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should not be unduly relied upon.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shares of Common Stock offered by the Selling Stockholder pursuant to this prospectus will be sold by the Selling Stockholder for its account. We will not receive any of the proceeds from these sales.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will bear all discounts and commissions, if any, and expenses incurred by them for brokerage, accounting, tax or legal services or any other expenses incurred in disposing of the Common Stock. We will bear the costs, fees and expenses incurred in effecting the registration of the shares covered by this prospectus, including, without limitation, all registration and filing fees, Nasdaq listing fees and fees and expenses of our counsel and our independent registered public accounting firm.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ES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Registration Rights Agreement, we agreed to (i) file the registration statement, of which this prospectus is a part, to cover the resale of the shares of Common Stock that the Selling Stockholder acquired pursuant to the Subscription Agreement and (ii) use reasonable best efforts to keep such registration statement continuously effective from the date on which the SEC declares the registration statement to be effective until the earlier of (x) the date on which the Selling Stockholder shall have resold all the Registrable Securities (as such term is defined in the Registration Rights Agreement) covered thereby, and (y) the date on which the Registrable Securities may be resold by the Selling Stockholder without registration and without regard to any volume or manner-of-sale limitations by reason of Rule 144 under the Securities Act (“Rule 144”) and without current public information pursuant to Rule 144.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resale of the above-referenced securities to permit the Selling Stockholder identified below, or its permitted transferees, pledgees or donees or other successors-in-interest that may be identified in a supplement to this prospectus or, if required, a post-effective amendment to the registration statement, of which this prospectus is a part, to resell or otherwise dispose of the securities in the manner contemplated under “Plan of Distribution” in this prospectus (as may be supplemented and amended). Throughout this prospectus, when we refer to the securities being registered on behalf of the Selling Stockholder, we are referring to the shares of Common Stock issued to the Selling Stockholder pursuant to the License Agreement. When we refer to the “Selling Stockholder” in this prospectus, we mean the Selling Stockholder identified in the table below, as well as its permitted transferees, pledgees or donees or other successors-in-interest that may be identified in a supplement to this prospectus or, if required, a post-effective amendment to the registration statement, of which this prospectus is a part. The Selling Stockholder may sell some, all or none of their shares of Common Stock. We do not know how long the Selling Stockholder will hold the shares before selling them, and we currently have no agreements, arrangements or understandings with the Selling Stockholder regarding the sale or other disposition of any of the shares. The shares of Common Stock covered hereby may be offered from time to time by the Selling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regarding shares beneficially owned after the offering assumes the sale of all shares of Common Stock offered by the Selling Stockholder. To our knowledge, subject to community property laws where applicable, the Selling Stockholder named in the table has sole voting and investment power with respect to the shares of Common Stock set forth opposite the Selling Stockholder’s name.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name of the Selling Stockholder, the number and percentage of shares of Common Stock beneficially owned by the Selling Stockholder as of September 1, 2026, the number of shares of Common Stock that may be offered under this prospectus, and the number and percentage of Common Stock beneficially owned by the Selling Stockholder assuming all of the shares of Common Stock registered hereunder are sold. Beneficial ownership is determined in accordance with the rules of the SEC and includes voting or investment power with respect to the Common Stock. Generally, a person “beneficially owns” shares of the Common Stock if the person has or shares with others the right to vote those shares or to dispose of them, or if the person has the right to acquire voting or disposition rights within 60 days of September 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described under the column “Shares of Common Stock Beneficially Owned Prior to this Offering” for the Selling Stockholder includes all shares of our Common Stock beneficially held by the Selling Stockholder as of September 1, 2026, which includes all shares of our Common Stock issued to the Selling Stockholder pursuant to the License Agreement. Because the Selling Stockholder may dispose of all, none or some portion of its shares of Common Stock, no estimate can be given as to the number of shares of Common Stock that will be beneficially owned by the Selling Stockholder upon termination of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table below, however, we have assumed that after termination of this offering none of the shares of Common Stock covered by this prospectus will be beneficially owned by the Selling Stockholder and further assumed that the Selling Stockholder will not acquire or dispose of beneficial ownership of any additional shares of Common Stock during the offering. In addition, the Selling Stockholder may have sold, transferred or otherwise disposed of, or may sell, transfer or otherwise dispose of, at any time and from time to time, any or all of their shares of Common Stock or interests in shares of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5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in transactions exempt from the registration requirements of the Securities Act after the date on which the information in the table is presented. See the section titled “Plan of Distribution.” </w:t>
      </w:r>
    </w:p>
    <w:tbl>
      <w:tblPr>
        <w:tblW w:w="8491" w:type="dxa"/>
        <w:jc w:val="left"/>
        <w:tblInd w:w="1393" w:type="dxa"/>
        <w:tblLayout w:type="fixed"/>
        <w:tblCellMar>
          <w:top w:w="0" w:type="dxa"/>
          <w:left w:w="0" w:type="dxa"/>
          <w:bottom w:w="43" w:type="dxa"/>
          <w:right w:w="0" w:type="dxa"/>
        </w:tblCellMar>
      </w:tblPr>
      <w:tblGrid>
        <w:gridCol w:w="2491"/>
        <w:gridCol w:w="109"/>
        <w:gridCol w:w="109"/>
        <w:gridCol w:w="127"/>
        <w:gridCol w:w="127"/>
        <w:gridCol w:w="1242"/>
        <w:gridCol w:w="127"/>
        <w:gridCol w:w="109"/>
        <w:gridCol w:w="109"/>
        <w:gridCol w:w="109"/>
        <w:gridCol w:w="109"/>
        <w:gridCol w:w="1066"/>
        <w:gridCol w:w="109"/>
        <w:gridCol w:w="109"/>
        <w:gridCol w:w="109"/>
        <w:gridCol w:w="164"/>
        <w:gridCol w:w="164"/>
        <w:gridCol w:w="341"/>
        <w:gridCol w:w="164"/>
        <w:gridCol w:w="164"/>
        <w:gridCol w:w="164"/>
        <w:gridCol w:w="164"/>
        <w:gridCol w:w="164"/>
        <w:gridCol w:w="523"/>
        <w:gridCol w:w="164"/>
        <w:gridCol w:w="154"/>
      </w:tblGrid>
      <w:tr>
        <w:trPr/>
        <w:tc>
          <w:tcPr>
            <w:tcW w:w="2491" w:type="dxa"/>
            <w:vMerge w:val="restart"/>
            <w:tcBorders>
              <w:bottom w:val="single" w:sz="2" w:space="0" w:color="000000"/>
            </w:tcBorders>
            <w:vAlign w:val="center"/>
          </w:tcPr>
          <w:p>
            <w:pPr>
              <w:pStyle w:val="TableContents"/>
              <w:bidi w:val="0"/>
              <w:spacing w:lineRule="atLeast" w:line="142" w:before="0" w:after="0"/>
              <w:jc w:val="left"/>
              <w:rPr/>
            </w:pPr>
            <w:r>
              <w:rPr>
                <w:spacing w:val="-3"/>
              </w:rPr>
              <w:t>Name</w:t>
            </w:r>
            <w:r>
              <w:rPr>
                <w:spacing w:val="-2"/>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623"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Shares of</w:t>
            </w:r>
            <w:r>
              <w:rPr/>
              <w:t xml:space="preserve"> </w:t>
              <w:br/>
            </w:r>
            <w:r>
              <w:rPr>
                <w:spacing w:val="-3"/>
              </w:rPr>
              <w:t>Common Stock</w:t>
            </w:r>
            <w:r>
              <w:rPr/>
              <w:t xml:space="preserve"> </w:t>
              <w:br/>
            </w:r>
            <w:r>
              <w:rPr>
                <w:spacing w:val="-3"/>
              </w:rPr>
              <w:t>Beneficially</w:t>
            </w:r>
            <w:r>
              <w:rPr/>
              <w:t xml:space="preserve"> </w:t>
              <w:br/>
            </w:r>
            <w:r>
              <w:rPr>
                <w:spacing w:val="-3"/>
              </w:rPr>
              <w:t>Owned Prior to</w:t>
            </w:r>
            <w:r>
              <w:rPr/>
              <w:t xml:space="preserve"> </w:t>
              <w:br/>
            </w:r>
            <w:r>
              <w:rPr>
                <w:spacing w:val="-3"/>
              </w:rPr>
              <w:t xml:space="preserve">this Offering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Shares of</w:t>
            </w:r>
            <w:r>
              <w:rPr/>
              <w:t xml:space="preserve"> </w:t>
              <w:br/>
            </w:r>
            <w:r>
              <w:rPr>
                <w:spacing w:val="-3"/>
              </w:rPr>
              <w:t>Common</w:t>
            </w:r>
            <w:r>
              <w:rPr/>
              <w:t xml:space="preserve"> </w:t>
              <w:br/>
            </w:r>
            <w:r>
              <w:rPr>
                <w:spacing w:val="-3"/>
              </w:rPr>
              <w:t>Stock</w:t>
            </w:r>
            <w:r>
              <w:rPr/>
              <w:t xml:space="preserve"> </w:t>
              <w:br/>
            </w:r>
            <w:r>
              <w:rPr>
                <w:spacing w:val="-3"/>
              </w:rPr>
              <w:t xml:space="preserve">Offered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76" w:type="dxa"/>
            <w:gridSpan w:val="10"/>
            <w:tcBorders>
              <w:bottom w:val="single" w:sz="2" w:space="0" w:color="000000"/>
            </w:tcBorders>
            <w:vAlign w:val="center"/>
          </w:tcPr>
          <w:p>
            <w:pPr>
              <w:pStyle w:val="TableContents"/>
              <w:bidi w:val="0"/>
              <w:spacing w:before="0" w:after="0"/>
              <w:jc w:val="center"/>
              <w:rPr/>
            </w:pPr>
            <w:r>
              <w:rPr>
                <w:spacing w:val="-3"/>
              </w:rPr>
              <w:t>Beneficial Ownership</w:t>
            </w:r>
            <w:r>
              <w:rPr/>
              <w:t xml:space="preserve"> </w:t>
              <w:br/>
            </w:r>
            <w:r>
              <w:rPr>
                <w:spacing w:val="-3"/>
              </w:rPr>
              <w:t xml:space="preserve">After this Offering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62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9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01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1" w:type="dxa"/>
            <w:tcBorders/>
            <w:shd w:fill="CCEEFF" w:val="clear"/>
            <w:tcMar>
              <w:bottom w:w="0" w:type="dxa"/>
            </w:tcMar>
            <w:vAlign w:val="center"/>
          </w:tcPr>
          <w:p>
            <w:pPr>
              <w:pStyle w:val="TableContents"/>
              <w:bidi w:val="0"/>
              <w:spacing w:before="0" w:after="0"/>
              <w:jc w:val="left"/>
              <w:rPr/>
            </w:pPr>
            <w:r>
              <w:rPr>
                <w:spacing w:val="4"/>
              </w:rPr>
              <w:t>InnoCare Pharma Inc.</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7,000,000</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341" w:type="dxa"/>
            <w:tcBorders/>
            <w:shd w:fill="CCEEFF" w:val="clear"/>
            <w:tcMar>
              <w:bottom w:w="0" w:type="dxa"/>
            </w:tcMar>
            <w:vAlign w:val="center"/>
          </w:tcPr>
          <w:p>
            <w:pPr>
              <w:pStyle w:val="TableContents"/>
              <w:bidi w:val="0"/>
              <w:spacing w:before="0" w:after="283"/>
              <w:jc w:val="right"/>
              <w:rPr/>
            </w:pPr>
            <w:r>
              <w:rPr/>
              <w:t>0</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523" w:type="dxa"/>
            <w:tcBorders/>
            <w:shd w:fill="CCEEFF" w:val="clear"/>
            <w:tcMar>
              <w:bottom w:w="0" w:type="dxa"/>
            </w:tcMar>
            <w:vAlign w:val="center"/>
          </w:tcPr>
          <w:p>
            <w:pPr>
              <w:pStyle w:val="TableContents"/>
              <w:bidi w:val="0"/>
              <w:spacing w:before="0" w:after="283"/>
              <w:jc w:val="righ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reported in the table above consist of 7,000,000 Shares of Common Stock issued to InnoCare pursuant to the Subscription Agreement. InnoCare has sole voting and disposition power over the shares held by InnoCare. The address of InnoCare is 103 Carnegie Center, Suite 209, Princeton, New Jersey, 08540, USA.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293370"/>
                <wp:effectExtent l="0" t="0" r="0" b="0"/>
                <wp:wrapSquare wrapText="right"/>
                <wp:docPr id="38" name="Frame3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may use any one or more of the following methods when disposing of shares of Common Stock or interests therein: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to members, partners, stockholders or other equityholders of the Selling Stockholder;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shares as agent, but may position and resell a portion of the block as principal to facilitate the transaction;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and settlement of short sales entered into after the effective date of the registration statement of which this prospectus is a part;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the Selling Stockholder to sell a specified number of such shares at a stipulated price per share;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Selling Stockholder to include the pledgee, transferee or other successors in interest as Selling Stockholder under this prospectus. The Selling Stockholder also may transfer the shares of Common Stock in other circumstances, in which case the transferees, pledgees or other successors in interest will be the Selling Stockholder for purposes of this prospectus. In connection with the sale of our Common Stock or interests therein, the Selling Stockholder may enter into hedging transactions with broker-dealers or other financial institutions, which may in turn engage in short sales of the Common Stock in the course of hedging the positions they assume. The Selling Stockholder may also sell shares of our Common Stock short and deliver these securities to close out their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proceeds to the Selling Stockholder from the sale of the Common Stock offered by them will be the purchase price of the Common Stock less discounts or commissions, if any. The Selling Stockholder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LEMA"/>
      <w:bookmarkEnd w:id="12"/>
      <w:r>
        <w:rPr>
          <w:rFonts w:ascii="calibri;arial;sans-serif" w:hAnsi="calibri;arial;sans-serif"/>
          <w:b w:val="false"/>
          <w:i w:val="false"/>
          <w:caps w:val="false"/>
          <w:smallCaps w:val="false"/>
          <w:color w:val="000000"/>
          <w:sz w:val="16"/>
        </w:rPr>
        <w:t>​</w:t>
      </w:r>
      <w:bookmarkStart w:id="13" w:name="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also may resell all or a portion of the shares of Common Stock owned by them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 and any underwriters, broker-dealers or agents that participate in the sale of shares of Common Stock or interests therein may be “underwriters” within the meaning of Section 2(a)(11) of the Securities Act (it being understood that the Selling Stockholder shall not be deemed to be underwriters solely as a result of their participation in this offering). Any discounts, commissions, concessions or profit they earn on any resale of the shares covered by this prospectus may be underwriting discounts and commissions under the Securities Act. A selling stockholder who is an “underwriter” within the meaning of Section 2(a)(11) of the Securities Act will be subject to the prospectus delivery requirements of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the shares of our Common Stock to be sold, the name of the Selling Stockholder,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advised the Selling Stockholder that the anti-manipulation rules of Regulation M under the Securities Exchange Act of 1934 (the “Exchange Act”) may apply to sales of shares covered by this prospectus in the market and to the activities of the Selling Stockholder and their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Selling Stockholder against liabilities, including liabilities under the Securities Act and state securities laws, relating to the registration of the shares covered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with the Selling Stockholder to use reasonable best efforts to cause the registration statement of which this prospectus constitutes a part to become effective and to remain continuously effective until the earlier of: (i) the date on which the Selling Stockholder shall have resold or otherwise disposed of all the shares covered by this prospectus and (ii) the date on which the shares covered by this prospectus no longer constitute Registrable Securities, such that they may be resold by the Selling Stockholder without registration and without regard to any volume or manner-of-sale limitations and without current public information pursuant to Rule 144 under the Securities Act or any other rule of similar effect.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issuance of the securities offered hereby will be passed upon for us by Ropes &amp; Gray LLP, Boston, Massachusetts.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Zenas BioPharma, Inc. appearing in Zenas Biopharma, Inc.’s </w:t>
      </w:r>
      <w:hyperlink r:id="rId4">
        <w:r>
          <w:rPr>
            <w:rStyle w:val="InternetLink"/>
          </w:rPr>
          <w:t>Annual Report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audited by Ernst &amp; Young LLP, independent registered public accounting firm, as set forth in their report thereon, incorporated by reference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WYCF"/>
      <w:bookmarkEnd w:id="14"/>
      <w:r>
        <w:rPr>
          <w:rFonts w:ascii="calibri;arial;sans-serif" w:hAnsi="calibri;arial;sans-serif"/>
          <w:b w:val="false"/>
          <w:i w:val="false"/>
          <w:caps w:val="false"/>
          <w:smallCaps w:val="false"/>
          <w:color w:val="000000"/>
          <w:sz w:val="16"/>
        </w:rPr>
        <w:t>​</w:t>
      </w:r>
      <w:bookmarkStart w:id="15" w:name="IODB"/>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shares of Common Stock being offered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Common Stock in any state where the offer is not permitted. You should not assume that the information in this prospectus is accurate as of any date other than the date on the front page of this prospectus, regardless of the time of delivery of this prospectus or any sale of Common Stock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us. The address of the SEC website is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website at www.zenasbio.com. Information contained in, or accessible through, our website is not a part of, and is not incorporated into, this prospectus, and you should not consider it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into this prospectus the documents listed below and any future filings, including all filings made after the date of the filing of the registration statement of which this prospectus is a part and prior to the effectiveness of such registration statement, made by us with the SEC under Section 13(a), 13(c), 14 or 15(d) of the Exchange Act, except for information “furnished” under Items 2.02, 7.01 or 9.01 on Form 8-K or other information “furnished” to the SEC which is not deemed filed and not incorporated in this prospectus, until the termination of the offering of securities described in the applicable prospectus supplement. We hereby incorporate by reference the following documents: </w:t>
      </w:r>
    </w:p>
    <w:p>
      <w:pPr>
        <w:pStyle w:val="TextBody"/>
        <w:bidi w:val="0"/>
        <w:spacing w:lineRule="atLeast" w:line="240" w:before="120" w:after="0"/>
        <w:ind w:left="1993" w:right="0" w:hanging="0"/>
        <w:jc w:val="left"/>
        <w:rPr/>
      </w:pPr>
      <w:hyperlink r:id="rId5">
        <w:r>
          <w:rPr>
            <w:rStyle w:val="InternetLink"/>
          </w:rPr>
          <w:t>our Annual Report on Form 10-K for the year ended December 31, 2025, as filed with the SEC on March 16,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our Quarterly Reports on Form 10-Q for the quarter ended March 31, 2026, as filed with the SEC on May 13, 2026</w:t>
        </w:r>
      </w:hyperlink>
      <w:r>
        <w:rPr>
          <w:rFonts w:ascii="Times New Roman;Times;serif" w:hAnsi="Times New Roman;Times;serif"/>
          <w:b w:val="false"/>
          <w:i w:val="false"/>
          <w:caps w:val="false"/>
          <w:smallCaps w:val="false"/>
          <w:color w:val="000000"/>
          <w:spacing w:val="4"/>
          <w:sz w:val="20"/>
        </w:rPr>
        <w:t xml:space="preserve">, and for the </w:t>
      </w:r>
      <w:hyperlink r:id="rId7">
        <w:r>
          <w:rPr>
            <w:rStyle w:val="InternetLink"/>
          </w:rPr>
          <w:t>quarter ended June 30, 2026, as filed with the SEC on August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8">
        <w:r>
          <w:rPr>
            <w:rStyle w:val="InternetLink"/>
          </w:rPr>
          <w:t>January 5,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February 13,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August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w:t>
      </w:r>
      <w:hyperlink r:id="rId1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from our </w:t>
      </w:r>
      <w:hyperlink r:id="rId14">
        <w:r>
          <w:rPr>
            <w:rStyle w:val="InternetLink"/>
          </w:rPr>
          <w:t>Definitive Proxy Statement on Schedule 14A for the 2026 Annual Meeting of Stockholders, as filed with the SEC on March 16,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which is contained in the Registration Statement on </w:t>
      </w:r>
      <w:hyperlink r:id="rId15">
        <w:r>
          <w:rPr>
            <w:rStyle w:val="InternetLink"/>
          </w:rPr>
          <w:t>Form 8-A, dated September 10, 2024</w:t>
        </w:r>
      </w:hyperlink>
      <w:r>
        <w:rPr>
          <w:rFonts w:ascii="Times New Roman;Times;serif" w:hAnsi="Times New Roman;Times;serif"/>
          <w:b w:val="false"/>
          <w:i w:val="false"/>
          <w:caps w:val="false"/>
          <w:smallCaps w:val="false"/>
          <w:color w:val="000000"/>
          <w:spacing w:val="4"/>
          <w:sz w:val="20"/>
        </w:rPr>
        <w:t xml:space="preserve">, as supplemented by the description of our Common Stock and preferred stock contained in </w:t>
      </w:r>
      <w:hyperlink r:id="rId16">
        <w:r>
          <w:rPr>
            <w:rStyle w:val="InternetLink"/>
          </w:rPr>
          <w:t>Exhibit 4.3</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2024, filed with the SEC on March 11, 2025.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Zenas BioPharma,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852 Winter Street, Suite 250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Waltham, Massachusetts 02451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(857) 271-2954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address: IR@zenasbio.com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Copies of these filings are also available, without charge, on the SEC’s website at www.sec.gov and on our website at www.zenasbio.com as soon as reasonably practicable after they are filed electronically with the SEC. The information contained on our website is not a part of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an estimate of the fees and expenses relating to the issuance and distribution of the securities being registered hereby, other than underwriting discounts and commissions, all of which shall be borne by the Registrant. All of such fees and expenses, except for the SEC registration fee, are estimated: </w:t>
      </w:r>
    </w:p>
    <w:tbl>
      <w:tblPr>
        <w:tblW w:w="5193" w:type="dxa"/>
        <w:jc w:val="left"/>
        <w:tblInd w:w="1393" w:type="dxa"/>
        <w:tblLayout w:type="fixed"/>
        <w:tblCellMar>
          <w:top w:w="0" w:type="dxa"/>
          <w:left w:w="0" w:type="dxa"/>
          <w:bottom w:w="0" w:type="dxa"/>
          <w:right w:w="0" w:type="dxa"/>
        </w:tblCellMar>
      </w:tblPr>
      <w:tblGrid>
        <w:gridCol w:w="124"/>
        <w:gridCol w:w="3367"/>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367"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 xml:space="preserve">31,717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67"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 xml:space="preserve">50,000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67"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 xml:space="preserve">20,000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336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Miscellaneous fees and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 xml:space="preserve">20,000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367" w:type="dxa"/>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121,717</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Section 102(b)(7) of the General Corporation Law of the State of Delaware (“DGCL”), our Second Restated Certificate of Incorporation (our “Restated Charter”) includes a provision to eliminate the personal liability of our directors and officers for monetary damages for breach of their fiduciary duties as directors, subject to certain exceptions. In addition, our Restated Charter and Amended and Restated Bylaws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 in each case except to the extent that the DGCL prohibits the elimination or limitation of liability of directors or officers for breaches of fiduciary duty.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145(a) of the DGCL provides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the person acted in good faith and in a manner the person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his conduct was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145(b) of the DGCL provides that a corporation shall have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the person acted in good faith and in a manner the person reasonably believed to be in or not opposed to the best interests of the corporation and except that no indemnification shall be made with respect to any claim, issue or matter as to which such person shall have been adjudged to be liable to the corporation unless and only to the extent that the Court of Chancery or the court in which such action or suit was brought shall determine upon application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3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our directors and certain of our officers. These indemnification agreements provide broader indemnity rights than those provided under the DGCL and our Restated Charter. These indemnification agreements are not intended to deny or otherwise limit third-party or derivative suits against us or our directors or officers, but to the extent a director or officer were entitled to indemnity or contribution under the indemnification agreement, the financial burden of a third-party suit would be borne by us, and we would not benefit from derivative recoveries against the director or officer. Such recoveries would accrue to our benefit but would be offset by our obligations to the director or officer under the indemnification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directors’ and officers’ liability insurance for the benefit of our directors and officers.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see “Undertakings.”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807"/>
        <w:gridCol w:w="109"/>
        <w:gridCol w:w="109"/>
        <w:gridCol w:w="7632"/>
        <w:gridCol w:w="155"/>
      </w:tblGrid>
      <w:tr>
        <w:trPr/>
        <w:tc>
          <w:tcPr>
            <w:tcW w:w="807" w:type="dxa"/>
            <w:tcBorders>
              <w:bottom w:val="single" w:sz="2" w:space="0" w:color="000000"/>
            </w:tcBorders>
            <w:vAlign w:val="center"/>
          </w:tcPr>
          <w:p>
            <w:pPr>
              <w:pStyle w:val="TableContents"/>
              <w:bidi w:val="0"/>
              <w:spacing w:before="0" w:after="0"/>
              <w:jc w:val="left"/>
              <w:rPr>
                <w:spacing w:val="-3"/>
              </w:rPr>
            </w:pPr>
            <w:r>
              <w:rPr>
                <w:spacing w:val="-3"/>
              </w:rPr>
              <w:t xml:space="preserve">Exhibit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632"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283"/>
              <w:jc w:val="left"/>
              <w:rPr/>
            </w:pPr>
            <w:hyperlink r:id="rId17">
              <w:r>
                <w:rPr>
                  <w:rStyle w:val="InternetLink"/>
                </w:rPr>
                <w:t>Second Restated Certificate of Incorporation of Zenas BioPharma, Inc. (incorporated by reference to Exhibit 3.1 to the Registrant’s Current Report on Form 8-K as filed with the SEC on September 16, 2024, File No. 001-42270)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283"/>
              <w:jc w:val="left"/>
              <w:rPr/>
            </w:pPr>
            <w:hyperlink r:id="rId18">
              <w:r>
                <w:rPr>
                  <w:rStyle w:val="InternetLink"/>
                </w:rPr>
                <w:t>Amended and Restated Bylaws of Zenas BioPharma, Inc. (incorporated by reference to Exhibit 3.2 to the Company’s Current Report on Form 8-K as filed with the SEC on September 16, 2024, File No. 001-42270)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283"/>
              <w:jc w:val="left"/>
              <w:rPr/>
            </w:pPr>
            <w:hyperlink r:id="rId19">
              <w:r>
                <w:rPr>
                  <w:rStyle w:val="InternetLink"/>
                </w:rPr>
                <w:t>Specimen stock certificate evidencing shares of common stock (incorporated by reference to Exhibit 4.1 to the Registration Statement on Form S-1 as filed with the SEC on September 6, 2024, File No. 333-281713)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283"/>
              <w:jc w:val="left"/>
              <w:rPr/>
            </w:pPr>
            <w:hyperlink r:id="rId20">
              <w:r>
                <w:rPr>
                  <w:rStyle w:val="InternetLink"/>
                </w:rPr>
                <w:t>Fourth Amended and Restated Shareholders Agreement, among the Registrant and certain of its stockholders, dated May 3, 2024 (incorporated by reference to Exhibit 4.2 to the Registration Statement on Form S-1 as filed with the SEC on September 6, 2024, File No. 333-281713)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283"/>
              <w:jc w:val="left"/>
              <w:rPr/>
            </w:pPr>
            <w:hyperlink r:id="rId21">
              <w:r>
                <w:rPr>
                  <w:rStyle w:val="InternetLink"/>
                </w:rPr>
                <w:t>Description of Securities (incorporated by reference to Exhibit 4.3 to the Annual Report on Form 10-K for the year ended December 31, 2024, as filed with the SEC on March 11, 2025, File No. 001-42270)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283"/>
              <w:jc w:val="left"/>
              <w:rPr/>
            </w:pPr>
            <w:hyperlink r:id="rId22">
              <w:r>
                <w:rPr>
                  <w:rStyle w:val="InternetLink"/>
                </w:rPr>
                <w:t>Registration Rights Agreement, dated October 7, 2025, by and between the Registrant and InnoCare Pharma Inc. (incorporated by reference to Exhibit 10.2 to the Current Report on Form 8-K, as filed with the SEC on October 8, 2025, File No. 001-42270)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0"/>
              <w:jc w:val="left"/>
              <w:rPr/>
            </w:pPr>
            <w:hyperlink w:anchor="tm2624811d2_ex5-1.htm">
              <w:r>
                <w:rPr>
                  <w:rStyle w:val="InternetLink"/>
                  <w:spacing w:val="4"/>
                </w:rPr>
                <w:t>Opinion of Ropes &amp; Gray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0"/>
              <w:jc w:val="left"/>
              <w:rPr/>
            </w:pPr>
            <w:hyperlink w:anchor="tm2624811d2_ex5-1.htm">
              <w:r>
                <w:rPr>
                  <w:rStyle w:val="InternetLink"/>
                  <w:spacing w:val="4"/>
                </w:rPr>
                <w:t>Consent of Ropes &amp; Gray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0"/>
              <w:jc w:val="left"/>
              <w:rPr/>
            </w:pPr>
            <w:hyperlink w:anchor="tm2624811d2_ex23-2.htm">
              <w:r>
                <w:rPr>
                  <w:rStyle w:val="InternetLink"/>
                  <w:spacing w:val="4"/>
                </w:rPr>
                <w:t>Consent of Ernst &amp; Young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0"/>
              <w:jc w:val="left"/>
              <w:rPr/>
            </w:pPr>
            <w:hyperlink w:anchor="tSIG1">
              <w:r>
                <w:rPr>
                  <w:rStyle w:val="InternetLink"/>
                  <w:spacing w:val="4"/>
                </w:rPr>
                <w:t>Power of Attorney (incorporated by reference to the signature page hereto)</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807"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2" w:type="dxa"/>
            <w:tcBorders/>
            <w:tcMar>
              <w:bottom w:w="0" w:type="dxa"/>
            </w:tcMar>
            <w:vAlign w:val="center"/>
          </w:tcPr>
          <w:p>
            <w:pPr>
              <w:pStyle w:val="TableContents"/>
              <w:bidi w:val="0"/>
              <w:spacing w:before="0" w:after="0"/>
              <w:jc w:val="left"/>
              <w:rPr/>
            </w:pPr>
            <w:hyperlink w:anchor="tm2624811d1_ex-filingfees.htm">
              <w:r>
                <w:rPr>
                  <w:rStyle w:val="InternetLink"/>
                  <w:spacing w:val="4"/>
                </w:rPr>
                <w:t>Filing Fee Table (filed herewith)</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of 1933;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undertakings set forth in paragraphs (1)(i), (1)(ii) and (1)(iii)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this registration statement.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of 1933 to any purchaser: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(6)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SIG1"/>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on Form S-3 to be signed on its behalf by the undersigned, thereunto duly authorized, in the City of Waltham, Commonwealth of Massachusetts on September 11,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2"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Leon O. Moulder, Jr.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6070" distB="0" distL="2794000" distR="0" simplePos="0" locked="0" layoutInCell="1" allowOverlap="1" relativeHeight="57">
                <wp:simplePos x="0" y="0"/>
                <wp:positionH relativeFrom="column">
                  <wp:align>left</wp:align>
                </wp:positionH>
                <wp:positionV relativeFrom="line">
                  <wp:align>top</wp:align>
                </wp:positionV>
                <wp:extent cx="254000" cy="525780"/>
                <wp:effectExtent l="0" t="0" r="0" b="0"/>
                <wp:wrapSquare wrapText="right"/>
                <wp:docPr id="55" name="Frame5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1pt;mso-wrap-distance-bottom:0pt;margin-top:24.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Leon O. Moulder, Jr.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Chief Executive Officer and Director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constitutes and appoints Leon O. Moulder, Jr. and Joseph Farmer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and supplements thereto (including post-effective amendments and registration statements filed pursuant to Rule 462(b))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below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233"/>
        <w:gridCol w:w="109"/>
        <w:gridCol w:w="109"/>
        <w:gridCol w:w="3928"/>
        <w:gridCol w:w="109"/>
        <w:gridCol w:w="109"/>
        <w:gridCol w:w="1935"/>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2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33" w:type="dxa"/>
            <w:tcBorders/>
            <w:tcMar>
              <w:bottom w:w="0" w:type="dxa"/>
            </w:tcMar>
            <w:vAlign w:val="center"/>
          </w:tcPr>
          <w:p>
            <w:pPr>
              <w:pStyle w:val="TableContents"/>
              <w:bidi w:val="0"/>
              <w:spacing w:before="0" w:after="0"/>
              <w:jc w:val="left"/>
              <w:rPr>
                <w:spacing w:val="4"/>
              </w:rPr>
            </w:pPr>
            <w:r>
              <w:rPr>
                <w:spacing w:val="4"/>
              </w:rPr>
              <w:t xml:space="preserve">/s/ Leon O. Moulder, Jr.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Leon O. Moulder,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8" w:type="dxa"/>
            <w:tcBorders/>
            <w:tcMar>
              <w:bottom w:w="0" w:type="dxa"/>
            </w:tcMar>
            <w:vAlign w:val="center"/>
          </w:tcPr>
          <w:p>
            <w:pPr>
              <w:pStyle w:val="TableContents"/>
              <w:bidi w:val="0"/>
              <w:spacing w:before="0" w:after="283"/>
              <w:jc w:val="left"/>
              <w:rPr/>
            </w:pPr>
            <w:r>
              <w:rPr>
                <w:spacing w:val="4"/>
              </w:rPr>
              <w:t>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5"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33" w:type="dxa"/>
            <w:tcBorders/>
            <w:tcMar>
              <w:bottom w:w="0" w:type="dxa"/>
            </w:tcMar>
            <w:vAlign w:val="center"/>
          </w:tcPr>
          <w:p>
            <w:pPr>
              <w:pStyle w:val="TableContents"/>
              <w:bidi w:val="0"/>
              <w:spacing w:before="0" w:after="0"/>
              <w:jc w:val="left"/>
              <w:rPr/>
            </w:pPr>
            <w:r>
              <w:rPr>
                <w:spacing w:val="4"/>
              </w:rPr>
              <w:t>/s/ Jennifer Fox</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Jennifer Fox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8" w:type="dxa"/>
            <w:tcBorders/>
            <w:tcMar>
              <w:bottom w:w="0" w:type="dxa"/>
            </w:tcMar>
            <w:vAlign w:val="center"/>
          </w:tcPr>
          <w:p>
            <w:pPr>
              <w:pStyle w:val="TableContents"/>
              <w:bidi w:val="0"/>
              <w:spacing w:before="0" w:after="283"/>
              <w:jc w:val="left"/>
              <w:rPr/>
            </w:pPr>
            <w:r>
              <w:rPr>
                <w:spacing w:val="4"/>
              </w:rPr>
              <w:t>Chief Business Officer and Chief Financial Officer</w:t>
            </w:r>
            <w:r>
              <w:rPr/>
              <w:t xml:space="preserve"> </w:t>
              <w:br/>
            </w:r>
            <w:r>
              <w:rPr>
                <w:spacing w:val="4"/>
              </w:rPr>
              <w:t xml:space="preserve">(Principal financial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5"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33" w:type="dxa"/>
            <w:tcBorders/>
            <w:tcMar>
              <w:bottom w:w="0" w:type="dxa"/>
            </w:tcMar>
            <w:vAlign w:val="center"/>
          </w:tcPr>
          <w:p>
            <w:pPr>
              <w:pStyle w:val="TableContents"/>
              <w:bidi w:val="0"/>
              <w:spacing w:before="0" w:after="0"/>
              <w:jc w:val="left"/>
              <w:rPr/>
            </w:pPr>
            <w:r>
              <w:rPr>
                <w:spacing w:val="4"/>
              </w:rPr>
              <w:t>/s/ Patricia Allen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Patricia Allen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8"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5"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33" w:type="dxa"/>
            <w:tcBorders/>
            <w:tcMar>
              <w:bottom w:w="0" w:type="dxa"/>
            </w:tcMar>
            <w:vAlign w:val="center"/>
          </w:tcPr>
          <w:p>
            <w:pPr>
              <w:pStyle w:val="TableContents"/>
              <w:bidi w:val="0"/>
              <w:spacing w:before="0" w:after="0"/>
              <w:jc w:val="left"/>
              <w:rPr/>
            </w:pPr>
            <w:r>
              <w:rPr>
                <w:spacing w:val="4"/>
              </w:rPr>
              <w:t>/s/ James Boylan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James Boylan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8"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5"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33" w:type="dxa"/>
            <w:tcBorders/>
            <w:tcMar>
              <w:bottom w:w="0" w:type="dxa"/>
            </w:tcMar>
            <w:vAlign w:val="center"/>
          </w:tcPr>
          <w:p>
            <w:pPr>
              <w:pStyle w:val="TableContents"/>
              <w:bidi w:val="0"/>
              <w:spacing w:before="0" w:after="0"/>
              <w:jc w:val="left"/>
              <w:rPr/>
            </w:pPr>
            <w:r>
              <w:rPr>
                <w:spacing w:val="4"/>
              </w:rPr>
              <w:t>/s/ Patrick Enright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Patrick Enright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8"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5"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33" w:type="dxa"/>
            <w:tcBorders/>
            <w:tcMar>
              <w:bottom w:w="0" w:type="dxa"/>
            </w:tcMar>
            <w:vAlign w:val="center"/>
          </w:tcPr>
          <w:p>
            <w:pPr>
              <w:pStyle w:val="TableContents"/>
              <w:bidi w:val="0"/>
              <w:spacing w:before="0" w:after="0"/>
              <w:jc w:val="left"/>
              <w:rPr/>
            </w:pPr>
            <w:r>
              <w:rPr>
                <w:spacing w:val="4"/>
              </w:rPr>
              <w:t>/s/ Hongbo Lu, Ph.D.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Hongbo Lu,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28"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5"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028" w:type="dxa"/>
        <w:jc w:val="left"/>
        <w:tblInd w:w="1393" w:type="dxa"/>
        <w:tblLayout w:type="fixed"/>
        <w:tblCellMar>
          <w:top w:w="0" w:type="dxa"/>
          <w:left w:w="0" w:type="dxa"/>
          <w:bottom w:w="28" w:type="dxa"/>
          <w:right w:w="0" w:type="dxa"/>
        </w:tblCellMar>
      </w:tblPr>
      <w:tblGrid>
        <w:gridCol w:w="124"/>
        <w:gridCol w:w="2217"/>
        <w:gridCol w:w="109"/>
        <w:gridCol w:w="109"/>
        <w:gridCol w:w="974"/>
        <w:gridCol w:w="109"/>
        <w:gridCol w:w="109"/>
        <w:gridCol w:w="2123"/>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2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17" w:type="dxa"/>
            <w:tcBorders/>
            <w:tcMar>
              <w:bottom w:w="0" w:type="dxa"/>
            </w:tcMar>
            <w:vAlign w:val="center"/>
          </w:tcPr>
          <w:p>
            <w:pPr>
              <w:pStyle w:val="TableContents"/>
              <w:bidi w:val="0"/>
              <w:spacing w:before="0" w:after="0"/>
              <w:jc w:val="left"/>
              <w:rPr/>
            </w:pPr>
            <w:r>
              <w:rPr>
                <w:spacing w:val="4"/>
              </w:rPr>
              <w:t>/s/ Jake Nunn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Jake Nunn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17" w:type="dxa"/>
            <w:tcBorders/>
            <w:tcMar>
              <w:bottom w:w="0" w:type="dxa"/>
            </w:tcMar>
            <w:vAlign w:val="center"/>
          </w:tcPr>
          <w:p>
            <w:pPr>
              <w:pStyle w:val="TableContents"/>
              <w:bidi w:val="0"/>
              <w:spacing w:before="0" w:after="0"/>
              <w:jc w:val="left"/>
              <w:rPr/>
            </w:pPr>
            <w:r>
              <w:rPr>
                <w:spacing w:val="4"/>
              </w:rPr>
              <w:t>/s/ Christy J. Oliger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Christy J. Oliger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spacing w:val="4"/>
              </w:rPr>
            </w:pPr>
            <w:r>
              <w:rPr>
                <w:spacing w:val="4"/>
              </w:rPr>
              <w:t xml:space="preserve">September 11,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17" w:type="dxa"/>
            <w:tcBorders/>
            <w:tcMar>
              <w:bottom w:w="0" w:type="dxa"/>
            </w:tcMar>
            <w:vAlign w:val="center"/>
          </w:tcPr>
          <w:p>
            <w:pPr>
              <w:pStyle w:val="TableContents"/>
              <w:bidi w:val="0"/>
              <w:spacing w:before="0" w:after="0"/>
              <w:jc w:val="left"/>
              <w:rPr/>
            </w:pPr>
            <w:r>
              <w:rPr>
                <w:spacing w:val="4"/>
              </w:rPr>
              <w:t>/s/ John Orloff, M.D.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John Orloff,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3" w:type="dxa"/>
            <w:tcBorders/>
            <w:tcMar>
              <w:bottom w:w="0" w:type="dxa"/>
            </w:tcMar>
            <w:vAlign w:val="center"/>
          </w:tcPr>
          <w:p>
            <w:pPr>
              <w:pStyle w:val="TableContents"/>
              <w:bidi w:val="0"/>
              <w:spacing w:before="0" w:after="0"/>
              <w:jc w:val="center"/>
              <w:rPr/>
            </w:pPr>
            <w:r>
              <w:rPr>
                <w:spacing w:val="4"/>
              </w:rPr>
              <w:t>September 11,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bookmarkStart w:id="17" w:name="tm2624811d2_ex5-1.htm"/>
      <w:bookmarkStart w:id="18" w:name="kstm2624811d2_ex51"/>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1140"/>
        <w:gridCol w:w="1970"/>
      </w:tblGrid>
      <w:tr>
        <w:trPr/>
        <w:tc>
          <w:tcPr>
            <w:tcW w:w="1140" w:type="dxa"/>
            <w:tcBorders/>
            <w:vAlign w:val="center"/>
          </w:tcPr>
          <w:p>
            <w:pPr>
              <w:pStyle w:val="TableContents"/>
              <w:bidi w:val="0"/>
              <w:spacing w:before="0" w:after="283"/>
              <w:jc w:val="left"/>
              <w:rPr/>
            </w:pPr>
            <w:r>
              <w:rPr/>
              <w:drawing>
                <wp:inline distT="0" distB="0" distL="0" distR="0">
                  <wp:extent cx="714375" cy="895350"/>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23"/>
                          <a:stretch>
                            <a:fillRect/>
                          </a:stretch>
                        </pic:blipFill>
                        <pic:spPr bwMode="auto">
                          <a:xfrm>
                            <a:off x="0" y="0"/>
                            <a:ext cx="714375" cy="895350"/>
                          </a:xfrm>
                          <a:prstGeom prst="rect">
                            <a:avLst/>
                          </a:prstGeom>
                        </pic:spPr>
                      </pic:pic>
                    </a:graphicData>
                  </a:graphic>
                </wp:inline>
              </w:drawing>
            </w:r>
          </w:p>
        </w:tc>
        <w:tc>
          <w:tcPr>
            <w:tcW w:w="1970" w:type="dxa"/>
            <w:tcBorders/>
            <w:vAlign w:val="center"/>
          </w:tcPr>
          <w:p>
            <w:pPr>
              <w:pStyle w:val="TableContents"/>
              <w:bidi w:val="0"/>
              <w:spacing w:before="0" w:after="6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ROPES &amp; GRAY LLP</w:t>
            </w:r>
          </w:p>
          <w:p>
            <w:pPr>
              <w:pStyle w:val="TableContents"/>
              <w:bidi w:val="0"/>
              <w:spacing w:before="0" w:after="6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PRUDENTIAL TOWER</w:t>
            </w:r>
          </w:p>
          <w:p>
            <w:pPr>
              <w:pStyle w:val="TableContents"/>
              <w:bidi w:val="0"/>
              <w:spacing w:before="0" w:after="6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800 BOYLSTON STREET</w:t>
            </w:r>
          </w:p>
          <w:p>
            <w:pPr>
              <w:pStyle w:val="TableContents"/>
              <w:bidi w:val="0"/>
              <w:spacing w:before="0" w:after="6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BOSTON, MA 02199-3600</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WWW.ROPESGRAY.COM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Zenas BioPharma,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Winter Street, Suite 250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of Securities by Zenas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Zenas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filed on the date hereof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registration under the Securities Act and the proposed offer and sale from time to time pursuant to Rule 415 under the Securities Act, by the selling stockholder identified in the Registration Statement, of up to 7,000,000 shares of common stock, $0.0001 par value per share, of the Company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below are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the assumptions, qualifications and limitations set forth below, we are of the opinion that the shares of Common Stock have been duly authorized by the Company and are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above, we have assumed that (i) the Registration Statement and any amendments thereto will have become effective under the Securities Act, and no stop order suspending the Registration Statement’s effectiveness will have been issued and remain in effect each time the Common Stock is offered and sold as contemplated by the Registration Statement, and (ii) all shares of Common Stock will be offered and sold in compliance with applicable federal and state securities laws and in the manner stated in the Registration Statement and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755" w:type="dxa"/>
        <w:jc w:val="left"/>
        <w:tblInd w:w="0" w:type="dxa"/>
        <w:tblLayout w:type="fixed"/>
        <w:tblCellMar>
          <w:top w:w="0" w:type="dxa"/>
          <w:left w:w="0" w:type="dxa"/>
          <w:bottom w:w="0" w:type="dxa"/>
          <w:right w:w="0" w:type="dxa"/>
        </w:tblCellMar>
      </w:tblPr>
      <w:tblGrid>
        <w:gridCol w:w="2210"/>
        <w:gridCol w:w="470"/>
        <w:gridCol w:w="75"/>
      </w:tblGrid>
      <w:tr>
        <w:trPr/>
        <w:tc>
          <w:tcPr>
            <w:tcW w:w="2210" w:type="dxa"/>
            <w:tcBorders/>
            <w:vAlign w:val="center"/>
          </w:tcPr>
          <w:p>
            <w:pPr>
              <w:pStyle w:val="TableContents"/>
              <w:bidi w:val="0"/>
              <w:spacing w:before="0" w:after="283"/>
              <w:jc w:val="left"/>
              <w:rPr/>
            </w:pPr>
            <w:r>
              <w:rPr/>
              <w:t>Zenas BioPharma, Inc.</w:t>
            </w:r>
          </w:p>
        </w:tc>
        <w:tc>
          <w:tcPr>
            <w:tcW w:w="470" w:type="dxa"/>
            <w:tcBorders/>
            <w:vAlign w:val="center"/>
          </w:tcPr>
          <w:p>
            <w:pPr>
              <w:pStyle w:val="TableContents"/>
              <w:bidi w:val="0"/>
              <w:spacing w:before="0" w:after="283"/>
              <w:jc w:val="center"/>
              <w:rPr/>
            </w:pPr>
            <w:r>
              <w:rPr/>
              <w:t> </w:t>
            </w:r>
            <w:r>
              <w:rPr/>
              <w:t>- 2 -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805"/>
      </w:tblGrid>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Ropes &amp; Gray LLP</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9" w:name="tm2624811d2_ex23-2.htm"/>
      <w:bookmarkStart w:id="20" w:name="kstm2624811d2_ex232"/>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and related Prospectus of Zenas BioPharma, Inc. for the registration of 7,000,000 shares of its common stock and to the incorporation by reference therein of our report dated March 16, 2026, with respect to the consolidated financial statements of Zenas BioPharma,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tm2624811d1_ex-filingfees.htm"/>
      <w:bookmarkStart w:id="22" w:name="kstm2624811d1_exfilingfees"/>
      <w:bookmarkStart w:id="23" w:name="tm2624811d1_ex-filingfees.htm"/>
      <w:bookmarkStart w:id="24" w:name="kstm2624811d1_exfilingfees"/>
      <w:bookmarkEnd w:id="23"/>
      <w:bookmarkEnd w:id="24"/>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Zenas BioPharma,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7,000,000 </w:t>
            </w:r>
          </w:p>
        </w:tc>
        <w:tc>
          <w:tcPr>
            <w:tcW w:w="1156" w:type="dxa"/>
            <w:tcBorders/>
            <w:shd w:fill="E7E7E2" w:val="clear"/>
            <w:vAlign w:val="center"/>
          </w:tcPr>
          <w:p>
            <w:pPr>
              <w:pStyle w:val="TableContents"/>
              <w:bidi w:val="0"/>
              <w:spacing w:before="0" w:after="283"/>
              <w:jc w:val="right"/>
              <w:rPr/>
            </w:pPr>
            <w:r>
              <w:rPr/>
              <w:t xml:space="preserve">$ 32.81 </w:t>
            </w:r>
          </w:p>
        </w:tc>
        <w:tc>
          <w:tcPr>
            <w:tcW w:w="1786" w:type="dxa"/>
            <w:tcBorders/>
            <w:shd w:fill="E7E7E2" w:val="clear"/>
            <w:vAlign w:val="center"/>
          </w:tcPr>
          <w:p>
            <w:pPr>
              <w:pStyle w:val="TableContents"/>
              <w:bidi w:val="0"/>
              <w:spacing w:before="0" w:after="283"/>
              <w:jc w:val="right"/>
              <w:rPr/>
            </w:pPr>
            <w:r>
              <w:rPr/>
              <w:t xml:space="preserve">$ 229,670,000.00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$ 31,717.43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5" w:name="MaxAggtOfferingPrice"/>
            <w:bookmarkEnd w:id="25"/>
            <w:r>
              <w:rPr/>
              <w:t xml:space="preserve">$ 229,670,000.00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$ 31,717.43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$ 31,717.43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5"/>
        <w:gridCol w:w="8708"/>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(a) The registration statement to which this exhibit is attached registers the resale from time to time by certain stockholders of up to 7,000,000 shares of common stock, $0.0001 par value per share (the "Common Stock"), that were initially issued pursuant to the Subscription Agreement dated as of October 7, 2025, by and between the Registrant and the selling stockholder named in the registration statement. Pursuant to Rule 416 under the Securities Act of 1933, as amended, the registration statement also covers such additional securities that may be issued as a result of stock splits, stock dividends or similar transactions. (b) Estimated solely for the purpose of calculating the registration fee in accordance with Rule 457(c) based on the average of the high and low prices of the Registrant's Common Stock as reported on The Nasdaq Global Select Market on September 9, 2026 to be $33.53 and $32.08, respectively.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53926/000155837025002631/zbio-20241231xex4d3.htm" TargetMode="External"/><Relationship Id="rId3" Type="http://schemas.openxmlformats.org/officeDocument/2006/relationships/hyperlink" Target="https://www.sec.gov/ix?doc=/Archives/edgar/data/1953926/000110465926027964/zbio-20251231x10k.htm" TargetMode="External"/><Relationship Id="rId4" Type="http://schemas.openxmlformats.org/officeDocument/2006/relationships/hyperlink" Target="https://www.sec.gov/ix?doc=/Archives/edgar/data/1953926/000110465926027964/zbio-20251231x10k.htm" TargetMode="External"/><Relationship Id="rId5" Type="http://schemas.openxmlformats.org/officeDocument/2006/relationships/hyperlink" Target="https://www.sec.gov/ix?doc=/Archives/edgar/data/1953926/000110465926027964/zbio-20251231x10k.htm" TargetMode="External"/><Relationship Id="rId6" Type="http://schemas.openxmlformats.org/officeDocument/2006/relationships/hyperlink" Target="https://www.sec.gov/ix?doc=/Archives/edgar/data/1953926/000110465926059735/zbio-20260331x10q.htm" TargetMode="External"/><Relationship Id="rId7" Type="http://schemas.openxmlformats.org/officeDocument/2006/relationships/hyperlink" Target="https://www.sec.gov/ix?doc=/Archives/edgar/data/1953926/000110465926095448/zbio-20260630x10q.htm" TargetMode="External"/><Relationship Id="rId8" Type="http://schemas.openxmlformats.org/officeDocument/2006/relationships/hyperlink" Target="https://www.sec.gov/ix?doc=/Archives/edgar/data/1953926/000110465926000402/tm261774d1_8k.htm" TargetMode="External"/><Relationship Id="rId9" Type="http://schemas.openxmlformats.org/officeDocument/2006/relationships/hyperlink" Target="https://www.sec.gov/ix?doc=/Archives/edgar/data/1953926/000110465926015314/tm266357d1_8k.htm" TargetMode="External"/><Relationship Id="rId10" Type="http://schemas.openxmlformats.org/officeDocument/2006/relationships/hyperlink" Target="https://www.sec.gov/ix?doc=/Archives/edgar/data/1953926/000110465926037821/tm2610711d1_8k.htm" TargetMode="External"/><Relationship Id="rId11" Type="http://schemas.openxmlformats.org/officeDocument/2006/relationships/hyperlink" Target="https://www.sec.gov/ix?doc=/Archives/edgar/data/1953926/000110465926059700/tm2614295d1_8k.htm" TargetMode="External"/><Relationship Id="rId12" Type="http://schemas.openxmlformats.org/officeDocument/2006/relationships/hyperlink" Target="https://www.sec.gov/ix?doc=/Archives/edgar/data/1953926/000110465926095437/tm2622871d1_8k.htm" TargetMode="External"/><Relationship Id="rId13" Type="http://schemas.openxmlformats.org/officeDocument/2006/relationships/hyperlink" Target="https://www.sec.gov/ix?doc=/Archives/edgar/data/1953926/000110465926027964/zbio-20251231x10k.htm" TargetMode="External"/><Relationship Id="rId14" Type="http://schemas.openxmlformats.org/officeDocument/2006/relationships/hyperlink" Target="https://www.sec.gov/ix?doc=/Archives/edgar/data/1953926/000110465926028062/tm261625-1_def14a.htm" TargetMode="External"/><Relationship Id="rId15" Type="http://schemas.openxmlformats.org/officeDocument/2006/relationships/hyperlink" Target="https://www.sec.gov/Archives/edgar/data/1953926/000110465924098571/tm2332800d21_8a12b.htm" TargetMode="External"/><Relationship Id="rId16" Type="http://schemas.openxmlformats.org/officeDocument/2006/relationships/hyperlink" Target="https://www.sec.gov/Archives/edgar/data/1953926/000155837025002631/zbio-20241231xex4d3.htm" TargetMode="External"/><Relationship Id="rId17" Type="http://schemas.openxmlformats.org/officeDocument/2006/relationships/hyperlink" Target="https://www.sec.gov/Archives/edgar/data/1953926/000110465924100177/tm2332800d24_ex3-1.htm" TargetMode="External"/><Relationship Id="rId18" Type="http://schemas.openxmlformats.org/officeDocument/2006/relationships/hyperlink" Target="https://www.sec.gov/Archives/edgar/data/1953926/000110465924100177/tm2332800d24_ex3-2.htm" TargetMode="External"/><Relationship Id="rId19" Type="http://schemas.openxmlformats.org/officeDocument/2006/relationships/hyperlink" Target="https://www.sec.gov/Archives/edgar/data/1953926/000110465924097538/tm2332800d16_ex4-1.htm" TargetMode="External"/><Relationship Id="rId20" Type="http://schemas.openxmlformats.org/officeDocument/2006/relationships/hyperlink" Target="https://www.sec.gov/Archives/edgar/data/1953926/000110465924097538/tm2332800d16_ex4-2.htm" TargetMode="External"/><Relationship Id="rId21" Type="http://schemas.openxmlformats.org/officeDocument/2006/relationships/hyperlink" Target="https://www.sec.gov/Archives/edgar/data/1953926/000155837025002631/zbio-20241231xex4d3.htm" TargetMode="External"/><Relationship Id="rId22" Type="http://schemas.openxmlformats.org/officeDocument/2006/relationships/hyperlink" Target="https://www.sec.gov/Archives/edgar/data/1953926/000110465925097663/tm2528075d1_ex10-2.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11269</Words>
  <Characters>60815</Characters>
  <CharactersWithSpaces>72668</CharactersWithSpaces>
  <Paragraphs>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