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-227965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3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-570230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3954145</wp:posOffset>
            </wp:positionH>
            <wp:positionV relativeFrom="paragraph">
              <wp:posOffset>-617855</wp:posOffset>
            </wp:positionV>
            <wp:extent cx="57785" cy="631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732155</wp:posOffset>
            </wp:positionV>
            <wp:extent cx="7047230" cy="46450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645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Farmer Joseph L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ZENAS BIOPHARMA, INC.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852 WINTER ST., SUITE 250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Zenas BioPharma,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ZBIO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52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1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See Remarks</w:t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WALTHAM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02451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02/05/2026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V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974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13.35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 w:line="3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vertAlign w:val="subscript"/>
              </w:rPr>
              <w:t>974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18.71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06/15/2026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175,000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06/15/2036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175,000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Common Stock acquired under Zenas BioPharma, Inc.'s 2024 Employee Stock Purchase Plan on February 5, 2026 in transactions that were exempt under Rule 16b-3(c).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 option vests as to 25% of the underlying shares of common stock on June 15, 2027, the first anniversary of the vesting commencement date, and as to the remaining shares, in equal monthly installments over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200" w:hanging="160"/>
        <w:spacing w:after="0"/>
        <w:tabs>
          <w:tab w:leader="none" w:pos="20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months thereafter, subject to continued service.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President and Chief Operating Officer</w:t>
      </w:r>
    </w:p>
    <w:p>
      <w:pPr>
        <w:spacing w:after="0" w:line="49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By: /s/ Jeffrey Held, Attorney-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06/17/2026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460" w:type="dxa"/>
            <w:vAlign w:val="bottom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in-Fact</w:t>
            </w: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4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2AE8944A"/>
    <w:multiLevelType w:val="hybridMultilevel"/>
    <w:lvl w:ilvl="0">
      <w:lvlJc w:val="left"/>
      <w:lvlText w:val="%1"/>
      <w:numFmt w:val="decimal"/>
      <w:start w:val="36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317757" TargetMode="External"/><Relationship Id="rId14" Type="http://schemas.openxmlformats.org/officeDocument/2006/relationships/hyperlink" Target="http://www.sec.gov/cgi-bin/browse-edgar?action=getcompany&amp;CIK=000195392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2026-06-17T17:02:23Z</dcterms:created>
  <dcterms:modified xsi:type="dcterms:W3CDTF">2026-06-17T17:02:23Z</dcterms:modified>
</cp:coreProperties>
</file>