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rPr>
      </w:pPr>
      <w:bookmarkStart w:id="0" w:name="tm2624811d3_s8.htm"/>
      <w:bookmarkStart w:id="1" w:name="kstm2624811d3_s8"/>
      <w:bookmarkEnd w:id="0"/>
      <w:bookmarkEnd w:id="1"/>
      <w:r>
        <w:rPr>
          <w:b/>
        </w:rPr>
        <w:t>As filed with the Securities and Exchange Commission on September 11,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REGISTRATION STATEMENT</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ZENAS BIOPHARMA,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3395"/>
        <w:gridCol w:w="60"/>
        <w:gridCol w:w="1565"/>
      </w:tblGrid>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93-2749244</w:t>
            </w:r>
          </w:p>
        </w:tc>
      </w:tr>
      <w:tr>
        <w:trPr/>
        <w:tc>
          <w:tcPr>
            <w:tcW w:w="3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 or other jurisdiction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(I.R.S. Employer</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Identification No.)</w:t>
            </w:r>
          </w:p>
        </w:tc>
      </w:tr>
      <w:tr>
        <w:trPr/>
        <w:tc>
          <w:tcPr>
            <w:tcW w:w="3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852 Winter Street, Suite 250</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 xml:space="preserve">Waltham, MA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02451</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Zenas BioPharma, Inc. 2026 Inducement Plan, as amended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titles of the plans)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Leon O. Moulder, Jr.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Zenas BioPharma,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852 Winter Street, Suite 250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Waltham, MA 02451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 271-2954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Please send a copy of all communications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Thomas Danielski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Ropes &amp; Gray LLP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Prudential Tower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 Boylston Street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 02199-3600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617-951-7000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ADDITIONAL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Zenas BioPharma, Inc. (the “Registrant”) is filing this Registration Statement on Form S-8 with the Securities and Exchange Commission (the “Commission”) for the purpose of registering 600,000 additional shares of its common stock, par value $0.0001 per share (“Common Stock”) of the Registrant that may be issued pursuant to awards granted in accordance with Rule 5635(c)(4) of The Nasdaq Stock Market Rules, as an inducement material to an individual’s entering into employment with the Registrant, pursuant to the Zenas BioPharma, Inc. 2026 Inducement Plan, as amended (the “2026 Inducement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the Board of Directors of the Registrant approved the First Amendment to the 2026 Inducement Plan, pursuant to which the number of shares of common stock reserved for issuance under the 2026 Inducement Plan increased by 600,000 shares, effective as of August 5, 2026. This Registration Statement registers these additional 600,000 shares of Common Stock. The additional shares are of the same class as other securities relating to the 2026 Inducement Plan for which the Registrant’s registration statement filed on Form S-8 (File No. 333-292309) filed with the SEC on December 19, 2025, is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Pursuant to General Instruction E to Form S-8, the Registrant incorporates by reference, except to the extent supplemented, amended or superseded by the information set forth herein, into this Registration Statement the entire contents of its Registration Statement on </w:t>
      </w:r>
      <w:hyperlink r:id="rId2">
        <w:r>
          <w:rPr>
            <w:rStyle w:val="InternetLink"/>
            <w:rFonts w:ascii="Times New Roman;Times;Serif" w:hAnsi="Times New Roman;Times;Serif"/>
            <w:b w:val="false"/>
            <w:i w:val="false"/>
            <w:caps w:val="false"/>
            <w:smallCaps w:val="false"/>
            <w:sz w:val="20"/>
          </w:rPr>
          <w:t>Form S-8 filed with the Commission on December 19, 2025 (File No. 333-292309)</w:t>
        </w:r>
      </w:hyperlink>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
        <w:gridCol w:w="60"/>
        <w:gridCol w:w="9360"/>
      </w:tblGrid>
      <w:tr>
        <w:trPr/>
        <w:tc>
          <w:tcPr>
            <w:tcW w:w="785" w:type="dxa"/>
            <w:tcBorders/>
            <w:vAlign w:val="center"/>
          </w:tcPr>
          <w:p>
            <w:pPr>
              <w:pStyle w:val="TableContents"/>
              <w:bidi w:val="0"/>
              <w:spacing w:before="0" w:after="283"/>
              <w:jc w:val="center"/>
              <w:rPr>
                <w:b/>
                <w:u w:val="single"/>
              </w:rPr>
            </w:pPr>
            <w:r>
              <w:rPr>
                <w:b/>
                <w:u w:val="single"/>
              </w:rPr>
              <w:t>Exhibit</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center"/>
              <w:rPr/>
            </w:pPr>
            <w:hyperlink r:id="rId3">
              <w:r>
                <w:rPr>
                  <w:rStyle w:val="InternetLink"/>
                </w:rPr>
                <w:t>4.1</w:t>
              </w:r>
            </w:hyperlink>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r:id="rId4">
              <w:r>
                <w:rPr>
                  <w:rStyle w:val="InternetLink"/>
                </w:rPr>
                <w:t>Restated Certificate of Incorporation (previously filed as Exhibit 3.1 to the Registrant’s Current Report on Form 8-K filed with the SEC on September 16, 2024 and incorporated herein by reference).</w:t>
              </w:r>
            </w:hyperlink>
          </w:p>
        </w:tc>
      </w:tr>
      <w:tr>
        <w:trPr/>
        <w:tc>
          <w:tcPr>
            <w:tcW w:w="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center"/>
              <w:rPr/>
            </w:pPr>
            <w:hyperlink r:id="rId5">
              <w:r>
                <w:rPr>
                  <w:rStyle w:val="InternetLink"/>
                </w:rPr>
                <w:t>4.2</w:t>
              </w:r>
            </w:hyperlink>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r:id="rId6">
              <w:r>
                <w:rPr>
                  <w:rStyle w:val="InternetLink"/>
                </w:rPr>
                <w:t>Amended and Restated Bylaws (previously filed as Exhibit 3.2 to the Registrant’s Current Report on Form 8-K filed with the SEC on September 16, 2024 and incorporated herein by reference).</w:t>
              </w:r>
            </w:hyperlink>
          </w:p>
        </w:tc>
      </w:tr>
      <w:tr>
        <w:trPr/>
        <w:tc>
          <w:tcPr>
            <w:tcW w:w="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center"/>
              <w:rPr/>
            </w:pPr>
            <w:hyperlink r:id="rId7">
              <w:r>
                <w:rPr>
                  <w:rStyle w:val="InternetLink"/>
                </w:rPr>
                <w:t>4.3</w:t>
              </w:r>
            </w:hyperlink>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r:id="rId8">
              <w:r>
                <w:rPr>
                  <w:rStyle w:val="InternetLink"/>
                </w:rPr>
                <w:t>Zenas BioPharma, Inc. 2026 Inducement Plan (incorporated by reference to Exhibit 10.1 to the Registrant’s Current Report on Form 8-K filed on December 15, 2025, File No. 001-42270).</w:t>
              </w:r>
            </w:hyperlink>
          </w:p>
        </w:tc>
      </w:tr>
      <w:tr>
        <w:trPr/>
        <w:tc>
          <w:tcPr>
            <w:tcW w:w="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center"/>
              <w:rPr/>
            </w:pPr>
            <w:hyperlink w:anchor="tm2624811d3_ex4-4.htm">
              <w:r>
                <w:rPr>
                  <w:rStyle w:val="InternetLink"/>
                </w:rPr>
                <w:t>4.4*</w:t>
              </w:r>
            </w:hyperlink>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tm2624811d3_ex4-4.htm">
              <w:r>
                <w:rPr>
                  <w:rStyle w:val="InternetLink"/>
                </w:rPr>
                <w:t>First Amendment to the Zenas BioPharma, Inc. 2026 Inducement Plan, dated August 5, 2026</w:t>
              </w:r>
            </w:hyperlink>
          </w:p>
        </w:tc>
      </w:tr>
      <w:tr>
        <w:trPr/>
        <w:tc>
          <w:tcPr>
            <w:tcW w:w="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center"/>
              <w:rPr/>
            </w:pPr>
            <w:hyperlink w:anchor="tm2624811d3_ex5-1.htm">
              <w:r>
                <w:rPr>
                  <w:rStyle w:val="InternetLink"/>
                </w:rPr>
                <w:t>5.1*</w:t>
              </w:r>
            </w:hyperlink>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tm2624811d3_ex5-1.htm">
              <w:r>
                <w:rPr>
                  <w:rStyle w:val="InternetLink"/>
                </w:rPr>
                <w:t>Opinion of Ropes &amp; Gray LLP</w:t>
              </w:r>
            </w:hyperlink>
          </w:p>
        </w:tc>
      </w:tr>
      <w:tr>
        <w:trPr/>
        <w:tc>
          <w:tcPr>
            <w:tcW w:w="785" w:type="dxa"/>
            <w:tcBorders/>
            <w:vAlign w:val="center"/>
          </w:tcPr>
          <w:p>
            <w:pPr>
              <w:pStyle w:val="TableContents"/>
              <w:bidi w:val="0"/>
              <w:spacing w:before="0" w:after="283"/>
              <w:jc w:val="center"/>
              <w:rPr/>
            </w:pPr>
            <w:r>
              <w:rPr/>
              <w:t> </w:t>
            </w:r>
          </w:p>
        </w:tc>
        <w:tc>
          <w:tcPr>
            <w:tcW w:w="9420" w:type="dxa"/>
            <w:gridSpan w:val="2"/>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center"/>
              <w:rPr/>
            </w:pPr>
            <w:hyperlink w:anchor="tm2624811d3_ex23-1.htm">
              <w:r>
                <w:rPr>
                  <w:rStyle w:val="InternetLink"/>
                </w:rPr>
                <w:t>23.1*</w:t>
              </w:r>
            </w:hyperlink>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tm2624811d3_ex23-1.htm">
              <w:r>
                <w:rPr>
                  <w:rStyle w:val="InternetLink"/>
                </w:rPr>
                <w:t>Consent of Ernst &amp; Young LLP, Independent Registered Public Accounting Firm</w:t>
              </w:r>
            </w:hyperlink>
          </w:p>
        </w:tc>
      </w:tr>
      <w:tr>
        <w:trPr/>
        <w:tc>
          <w:tcPr>
            <w:tcW w:w="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center"/>
              <w:rPr/>
            </w:pPr>
            <w:hyperlink w:anchor="tm2624811d3_ex5-1.htm">
              <w:r>
                <w:rPr>
                  <w:rStyle w:val="InternetLink"/>
                </w:rPr>
                <w:t>23.2*</w:t>
              </w:r>
            </w:hyperlink>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tm2624811d3_ex5-1.htm">
              <w:r>
                <w:rPr>
                  <w:rStyle w:val="InternetLink"/>
                </w:rPr>
                <w:t>Consent of Ropes &amp; Gray LLP (included in the opinion filed as Exhibit 5.1)</w:t>
              </w:r>
            </w:hyperlink>
          </w:p>
        </w:tc>
      </w:tr>
      <w:tr>
        <w:trPr/>
        <w:tc>
          <w:tcPr>
            <w:tcW w:w="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center"/>
              <w:rPr/>
            </w:pPr>
            <w:hyperlink w:anchor="poa_001">
              <w:r>
                <w:rPr>
                  <w:rStyle w:val="InternetLink"/>
                </w:rPr>
                <w:t>24.1*</w:t>
              </w:r>
            </w:hyperlink>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poa_001">
              <w:r>
                <w:rPr>
                  <w:rStyle w:val="InternetLink"/>
                </w:rPr>
                <w:t>Powers of Attorney (included on the signature page in Part II)</w:t>
              </w:r>
            </w:hyperlink>
          </w:p>
        </w:tc>
      </w:tr>
      <w:tr>
        <w:trPr/>
        <w:tc>
          <w:tcPr>
            <w:tcW w:w="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center"/>
              <w:rPr/>
            </w:pPr>
            <w:hyperlink w:anchor="tm2624811d3_ex-filingfees.htm">
              <w:r>
                <w:rPr>
                  <w:rStyle w:val="InternetLink"/>
                </w:rPr>
                <w:t>107*</w:t>
              </w:r>
            </w:hyperlink>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tm2624811d3_ex-filingfees.htm">
              <w:r>
                <w:rPr>
                  <w:rStyle w:val="InternetLink"/>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Waltham, Massachusetts, on this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September, 2026.</w:t>
      </w:r>
    </w:p>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335"/>
        <w:gridCol w:w="2435"/>
        <w:gridCol w:w="75"/>
      </w:tblGrid>
      <w:tr>
        <w:trPr/>
        <w:tc>
          <w:tcPr>
            <w:tcW w:w="27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ZENAS BIOPHARMA, INC.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Leon O. Moulder, Jr.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Leon O. Moulder, Jr.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o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Leon O. Moulder, Jr. and Joseph Farmer, and each of them singly,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on Form S-8 to be filed by Zenas BioPharma, Inc. and to file the same, with all exhibits thereto, and other documents in connection therewith, with the Securities and Exchange Commission, granting unto said attorneys-in-fact and agents full power and authority to be done in and about the premises, as fully to all intents and purposes as he or she might or could do in person, hereby ratifying and confirming all that said attorneys-in-fact and agents, and each of them, or their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800" w:type="dxa"/>
        <w:jc w:val="left"/>
        <w:tblInd w:w="0" w:type="dxa"/>
        <w:tblLayout w:type="fixed"/>
        <w:tblCellMar>
          <w:top w:w="0" w:type="dxa"/>
          <w:left w:w="0" w:type="dxa"/>
          <w:bottom w:w="28" w:type="dxa"/>
          <w:right w:w="0" w:type="dxa"/>
        </w:tblCellMar>
      </w:tblPr>
      <w:tblGrid>
        <w:gridCol w:w="1940"/>
        <w:gridCol w:w="60"/>
        <w:gridCol w:w="4085"/>
        <w:gridCol w:w="60"/>
        <w:gridCol w:w="1655"/>
      </w:tblGrid>
      <w:tr>
        <w:trPr/>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40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16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Leon O. Moulder, Jr.</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and Director</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11, 2026</w:t>
            </w:r>
          </w:p>
        </w:tc>
      </w:tr>
      <w:tr>
        <w:trPr/>
        <w:tc>
          <w:tcPr>
            <w:tcW w:w="19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Leon O. Moulder, Jr.</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Jennifer Fox</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Business Officer and Chief Financial Officer</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11, 2026</w:t>
            </w:r>
          </w:p>
        </w:tc>
      </w:tr>
      <w:tr>
        <w:trPr/>
        <w:tc>
          <w:tcPr>
            <w:tcW w:w="19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Jennifer Fox</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Accounting and Financial Officer)</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Patricia Allen</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11, 2026</w:t>
            </w:r>
          </w:p>
        </w:tc>
      </w:tr>
      <w:tr>
        <w:trPr/>
        <w:tc>
          <w:tcPr>
            <w:tcW w:w="19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Patricia Allen</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James Boylan</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11, 2026</w:t>
            </w:r>
          </w:p>
        </w:tc>
      </w:tr>
      <w:tr>
        <w:trPr/>
        <w:tc>
          <w:tcPr>
            <w:tcW w:w="19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James Boylan</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Patrick Enright</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11, 2026</w:t>
            </w:r>
          </w:p>
        </w:tc>
      </w:tr>
      <w:tr>
        <w:trPr/>
        <w:tc>
          <w:tcPr>
            <w:tcW w:w="19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Patrick Enright</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Hongbo Lu, Ph.D.</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11, 2026</w:t>
            </w:r>
          </w:p>
        </w:tc>
      </w:tr>
      <w:tr>
        <w:trPr/>
        <w:tc>
          <w:tcPr>
            <w:tcW w:w="19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Hongbo Lu, Ph.D.</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Jake Nunn</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11, 2026</w:t>
            </w:r>
          </w:p>
        </w:tc>
      </w:tr>
      <w:tr>
        <w:trPr/>
        <w:tc>
          <w:tcPr>
            <w:tcW w:w="19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Jake Nunn</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center"/>
              <w:rPr/>
            </w:pPr>
            <w:r>
              <w:rPr/>
              <w:t>/s/ Christy J. Oliger</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11, 2026</w:t>
            </w:r>
          </w:p>
        </w:tc>
      </w:tr>
      <w:tr>
        <w:trPr/>
        <w:tc>
          <w:tcPr>
            <w:tcW w:w="1940" w:type="dxa"/>
            <w:tcBorders/>
            <w:tcMar>
              <w:bottom w:w="0" w:type="dxa"/>
            </w:tcMar>
            <w:vAlign w:val="center"/>
          </w:tcPr>
          <w:p>
            <w:pPr>
              <w:pStyle w:val="TableContents"/>
              <w:bidi w:val="0"/>
              <w:spacing w:before="0" w:after="283"/>
              <w:jc w:val="center"/>
              <w:rPr/>
            </w:pPr>
            <w:r>
              <w:rPr/>
              <w:t>Christy J. Oliger</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19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John Orloff, M.D.</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11, 2026</w:t>
            </w:r>
          </w:p>
        </w:tc>
      </w:tr>
      <w:tr>
        <w:trPr/>
        <w:tc>
          <w:tcPr>
            <w:tcW w:w="19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John Orloff, M.D.</w:t>
            </w:r>
          </w:p>
        </w:tc>
        <w:tc>
          <w:tcPr>
            <w:tcW w:w="60" w:type="dxa"/>
            <w:tcBorders/>
            <w:tcMar>
              <w:bottom w:w="0" w:type="dxa"/>
            </w:tcMar>
            <w:vAlign w:val="center"/>
          </w:tcPr>
          <w:p>
            <w:pPr>
              <w:pStyle w:val="TableContents"/>
              <w:bidi w:val="0"/>
              <w:spacing w:before="0" w:after="283"/>
              <w:jc w:val="center"/>
              <w:rPr/>
            </w:pPr>
            <w:r>
              <w:rPr/>
              <w:t> </w:t>
            </w:r>
          </w:p>
        </w:tc>
        <w:tc>
          <w:tcPr>
            <w:tcW w:w="40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3" w:name="tm2624811d3_ex4-4.htm"/>
      <w:bookmarkStart w:id="4" w:name="kstm2624811d3_ex44"/>
      <w:bookmarkEnd w:id="3"/>
      <w:bookmarkEnd w:id="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ZENAS BIOPHARMA, INC.</w:t>
        <w:br/>
        <w:t>2026 INDUCEMENT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First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 of the Zenas BioPharma, Inc. 2026 Inducement Plan (the “Plan”), Zenas BioPharma, Inc. (the “Company”), by authorization of the Company’s Board of Directors, hereby amends the Plan as follows, effective as of August 5, 2026:</w:t>
      </w:r>
    </w:p>
    <w:p>
      <w:pPr>
        <w:pStyle w:val="TextBody"/>
        <w:bidi w:val="0"/>
        <w:spacing w:before="0" w:after="0"/>
        <w:ind w:left="0" w:right="0" w:hanging="0"/>
        <w:jc w:val="left"/>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17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1.</w:t>
            </w:r>
          </w:p>
        </w:tc>
        <w:tc>
          <w:tcPr>
            <w:tcW w:w="6710" w:type="dxa"/>
            <w:tcBorders/>
            <w:vAlign w:val="center"/>
          </w:tcPr>
          <w:p>
            <w:pPr>
              <w:pStyle w:val="TableContents"/>
              <w:bidi w:val="0"/>
              <w:spacing w:before="0" w:after="283"/>
              <w:jc w:val="left"/>
              <w:rPr>
                <w:sz w:val="20"/>
              </w:rPr>
            </w:pPr>
            <w:r>
              <w:rPr>
                <w:sz w:val="20"/>
              </w:rPr>
              <w:t>Section 4(a)(i) of the Plan is hereby replaced in its entirety with the following text: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Number of Shares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 Subject to adjustment as provided in Section 7(b) of this Plan, the maximum number of shares of Stock that may be delivered in satisfaction of Awards under this Plan is 1,600,000 shares (the ‘Share Pool’).”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w:t>
      </w:r>
    </w:p>
    <w:p>
      <w:pPr>
        <w:pStyle w:val="TextBody"/>
        <w:bidi w:val="0"/>
        <w:spacing w:before="0" w:after="283"/>
        <w:jc w:val="left"/>
        <w:rPr/>
      </w:pPr>
      <w:r>
        <w:rPr/>
        <w:t> </w:t>
      </w:r>
    </w:p>
    <w:p>
      <w:pPr>
        <w:pStyle w:val="TextBody"/>
        <w:bidi w:val="0"/>
        <w:jc w:val="left"/>
        <w:rPr/>
      </w:pPr>
      <w:bookmarkStart w:id="5" w:name="tm2624811d3_ex5-1.htm"/>
      <w:bookmarkStart w:id="6" w:name="kstm2624811d3_ex51"/>
      <w:bookmarkEnd w:id="5"/>
      <w:bookmarkEnd w:id="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1170"/>
        <w:gridCol w:w="1645"/>
      </w:tblGrid>
      <w:tr>
        <w:trPr/>
        <w:tc>
          <w:tcPr>
            <w:tcW w:w="1170" w:type="dxa"/>
            <w:tcBorders/>
            <w:vAlign w:val="center"/>
          </w:tcPr>
          <w:p>
            <w:pPr>
              <w:pStyle w:val="TableContents"/>
              <w:bidi w:val="0"/>
              <w:spacing w:before="0" w:after="283"/>
              <w:jc w:val="left"/>
              <w:rPr/>
            </w:pPr>
            <w:r>
              <w:rPr/>
              <w:drawing>
                <wp:inline distT="0" distB="0" distL="0" distR="0">
                  <wp:extent cx="733425"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9"/>
                          <a:stretch>
                            <a:fillRect/>
                          </a:stretch>
                        </pic:blipFill>
                        <pic:spPr bwMode="auto">
                          <a:xfrm>
                            <a:off x="0" y="0"/>
                            <a:ext cx="733425" cy="866775"/>
                          </a:xfrm>
                          <a:prstGeom prst="rect">
                            <a:avLst/>
                          </a:prstGeom>
                        </pic:spPr>
                      </pic:pic>
                    </a:graphicData>
                  </a:graphic>
                </wp:inline>
              </w:drawing>
            </w:r>
          </w:p>
        </w:tc>
        <w:tc>
          <w:tcPr>
            <w:tcW w:w="16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ROPES &amp; GRAY LLP</w:t>
            </w:r>
          </w:p>
          <w:p>
            <w:pPr>
              <w:pStyle w:val="TableContents"/>
              <w:bidi w:val="0"/>
              <w:spacing w:before="80" w:after="80"/>
              <w:ind w:left="80" w:right="8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PRUDENTIAL TOWER</w:t>
            </w:r>
          </w:p>
          <w:p>
            <w:pPr>
              <w:pStyle w:val="TableContents"/>
              <w:bidi w:val="0"/>
              <w:spacing w:before="80" w:after="80"/>
              <w:ind w:left="80" w:right="8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800 BOYLSTON STREET</w:t>
            </w:r>
          </w:p>
          <w:p>
            <w:pPr>
              <w:pStyle w:val="TableContents"/>
              <w:bidi w:val="0"/>
              <w:spacing w:before="80" w:after="80"/>
              <w:ind w:left="80" w:right="8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BOSTON, MA 02199-3600</w:t>
            </w:r>
          </w:p>
          <w:p>
            <w:pPr>
              <w:pStyle w:val="TableContents"/>
              <w:bidi w:val="0"/>
              <w:spacing w:before="80" w:after="0"/>
              <w:ind w:left="80" w:right="8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WWW.ROPESGRAY.COM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Zenas BioPharma,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 Winter Street, Suite 250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 02451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furnished to you in connection with the registration statement on Form S-8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filed by Zenas BioPharma,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on the date hereof, with the Securities and Exchange Commission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for the registration of 600,000 shares of Common Stock, $0.0001 par value, of the Company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under the Company’s 2026 Inducement Plan, as amended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familiar with the actions taken by the Company in connection with the adoption of the Plan.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below are limited to the Delaware General Corporation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the Shares have been duly authorized and, when the Shares have been issued and sold in accordance with the terms of the Plan, the Shares will be validly issued, fully paid and nonassessable.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In giving such consent, we do not thereby admit that we are in the category of persons whose consent is required under Section 7 of the Securities Act or the rules and regulations thereunder.</w:t>
      </w:r>
    </w:p>
    <w:p>
      <w:pPr>
        <w:pStyle w:val="TextBody"/>
        <w:bidi w:val="0"/>
        <w:spacing w:before="0" w:after="0"/>
        <w:ind w:left="0" w:right="0" w:hanging="0"/>
        <w:jc w:val="left"/>
        <w:rPr>
          <w:caps w:val="false"/>
          <w:smallCaps w:val="false"/>
        </w:rPr>
      </w:pPr>
      <w:r>
        <w:rPr>
          <w:caps w:val="false"/>
          <w:smallCaps w:val="false"/>
        </w:rPr>
        <w:t> </w:t>
      </w:r>
    </w:p>
    <w:tbl>
      <w:tblPr>
        <w:tblW w:w="1880" w:type="dxa"/>
        <w:jc w:val="left"/>
        <w:tblInd w:w="0" w:type="dxa"/>
        <w:tblLayout w:type="fixed"/>
        <w:tblCellMar>
          <w:top w:w="0" w:type="dxa"/>
          <w:left w:w="0" w:type="dxa"/>
          <w:bottom w:w="0" w:type="dxa"/>
          <w:right w:w="0" w:type="dxa"/>
        </w:tblCellMar>
      </w:tblPr>
      <w:tblGrid>
        <w:gridCol w:w="75"/>
        <w:gridCol w:w="1805"/>
      </w:tblGrid>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Ropes &amp; Gray LLP</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Ropes &amp; Gray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7" w:name="tm2624811d3_ex23-1.htm"/>
      <w:bookmarkStart w:id="8" w:name="kstm2624811d3_ex231"/>
      <w:bookmarkEnd w:id="7"/>
      <w:bookmarkEnd w:id="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(Form S-8) pertaining to the Amended 2026 Inducement Plan of Zenas BioPharma, Inc. of our report dated March 16, 2026, with respect to the consolidated financial statements of Zenas BioPharma, Inc. included in its Annual Report (Form 10-K) for the year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Normal"/>
        <w:bidi w:val="0"/>
        <w:spacing w:before="0" w:after="0"/>
        <w:jc w:val="left"/>
        <w:rPr>
          <w:sz w:val="4"/>
          <w:szCs w:val="4"/>
        </w:rPr>
      </w:pPr>
      <w:r>
        <w:rPr>
          <w:sz w:val="4"/>
          <w:szCs w:val="4"/>
        </w:rPr>
      </w:r>
      <w:bookmarkStart w:id="9" w:name="tm2624811d3_ex-filingfees.htm"/>
      <w:bookmarkStart w:id="10" w:name="kstm2624811d3_exfilingfees"/>
      <w:bookmarkStart w:id="11" w:name="tm2624811d3_ex-filingfees.htm"/>
      <w:bookmarkStart w:id="12" w:name="kstm2624811d3_exfilingfees"/>
      <w:bookmarkEnd w:id="11"/>
      <w:bookmarkEnd w:id="12"/>
      <w:r>
        <w:br w:type="page"/>
      </w:r>
    </w:p>
    <w:tbl>
      <w:tblPr>
        <w:tblW w:w="3573" w:type="dxa"/>
        <w:jc w:val="left"/>
        <w:tblInd w:w="0" w:type="dxa"/>
        <w:tblLayout w:type="fixed"/>
        <w:tblCellMar>
          <w:top w:w="28" w:type="dxa"/>
          <w:left w:w="28" w:type="dxa"/>
          <w:bottom w:w="28" w:type="dxa"/>
          <w:right w:w="28" w:type="dxa"/>
        </w:tblCellMar>
      </w:tblPr>
      <w:tblGrid>
        <w:gridCol w:w="3419"/>
        <w:gridCol w:w="154"/>
      </w:tblGrid>
      <w:tr>
        <w:trPr/>
        <w:tc>
          <w:tcPr>
            <w:tcW w:w="357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9"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9" w:type="dxa"/>
            <w:tcBorders/>
            <w:vAlign w:val="center"/>
          </w:tcPr>
          <w:p>
            <w:pPr>
              <w:pStyle w:val="TableContents"/>
              <w:bidi w:val="0"/>
              <w:spacing w:before="0" w:after="283"/>
              <w:jc w:val="left"/>
              <w:rPr>
                <w:b/>
              </w:rPr>
            </w:pPr>
            <w:r>
              <w:rPr>
                <w:b/>
              </w:rPr>
              <w:t xml:space="preserve">Zenas BioPharma,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24" w:type="dxa"/>
        <w:jc w:val="left"/>
        <w:tblInd w:w="0" w:type="dxa"/>
        <w:tblLayout w:type="fixed"/>
        <w:tblCellMar>
          <w:top w:w="28" w:type="dxa"/>
          <w:left w:w="28" w:type="dxa"/>
          <w:bottom w:w="28" w:type="dxa"/>
          <w:right w:w="28" w:type="dxa"/>
        </w:tblCellMar>
      </w:tblPr>
      <w:tblGrid>
        <w:gridCol w:w="241"/>
        <w:gridCol w:w="946"/>
        <w:gridCol w:w="1231"/>
        <w:gridCol w:w="1276"/>
        <w:gridCol w:w="1186"/>
        <w:gridCol w:w="1156"/>
        <w:gridCol w:w="166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3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31" w:type="dxa"/>
            <w:tcBorders/>
            <w:shd w:fill="E7E7E2" w:val="clear"/>
            <w:vAlign w:val="center"/>
          </w:tcPr>
          <w:p>
            <w:pPr>
              <w:pStyle w:val="TableContents"/>
              <w:bidi w:val="0"/>
              <w:spacing w:before="0" w:after="283"/>
              <w:jc w:val="left"/>
              <w:rPr/>
            </w:pPr>
            <w:r>
              <w:rPr/>
              <w:t xml:space="preserve">Zenas BioPharma, Inc. 2026 Inducement Plan, as amended Common Stock, par value $0.0001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600,000 </w:t>
            </w:r>
          </w:p>
        </w:tc>
        <w:tc>
          <w:tcPr>
            <w:tcW w:w="1156" w:type="dxa"/>
            <w:tcBorders/>
            <w:shd w:fill="E7E7E2" w:val="clear"/>
            <w:vAlign w:val="center"/>
          </w:tcPr>
          <w:p>
            <w:pPr>
              <w:pStyle w:val="TableContents"/>
              <w:bidi w:val="0"/>
              <w:spacing w:before="0" w:after="283"/>
              <w:jc w:val="right"/>
              <w:rPr/>
            </w:pPr>
            <w:r>
              <w:rPr/>
              <w:t xml:space="preserve">$ 32.81 </w:t>
            </w:r>
          </w:p>
        </w:tc>
        <w:tc>
          <w:tcPr>
            <w:tcW w:w="1666" w:type="dxa"/>
            <w:tcBorders/>
            <w:shd w:fill="E7E7E2" w:val="clear"/>
            <w:vAlign w:val="center"/>
          </w:tcPr>
          <w:p>
            <w:pPr>
              <w:pStyle w:val="TableContents"/>
              <w:bidi w:val="0"/>
              <w:spacing w:before="0" w:after="283"/>
              <w:jc w:val="right"/>
              <w:rPr/>
            </w:pPr>
            <w:r>
              <w:rPr/>
              <w:t xml:space="preserve">$ 19,686,000.00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$ 2,718.64 </w:t>
            </w:r>
          </w:p>
        </w:tc>
      </w:tr>
      <w:tr>
        <w:trPr/>
        <w:tc>
          <w:tcPr>
            <w:tcW w:w="4880"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13" w:name="MaxAggtOfferingPrice"/>
            <w:bookmarkEnd w:id="13"/>
            <w:r>
              <w:rPr/>
              <w:t xml:space="preserve">$ 19,686,000.00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$ 2,718.64 </w:t>
            </w:r>
          </w:p>
        </w:tc>
      </w:tr>
      <w:tr>
        <w:trPr/>
        <w:tc>
          <w:tcPr>
            <w:tcW w:w="4880"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4880"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6" w:name="NetFeeAmt"/>
            <w:bookmarkEnd w:id="16"/>
            <w:r>
              <w:rPr/>
              <w:t xml:space="preserve">$ 2,718.64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4"/>
        <w:gridCol w:w="8708"/>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1(a) Pursuant to Rule 416(a) promulgated under the Securities Act, this Registration Statement also covers such additional shares of the Registrant's Common Stock as may be issued to prevent dilution from stock splits, stock dividends and similar transactions. 1(b) Estimated solely for the purpose of calculating the registration fee pursuant to Rule 457(c) and 457(h) under the Securities Act. The proposed maximum offering price per share and the proposed maximum aggregate offering price are based upon the average of the high and low sale price of the Registrant's Common Stock, as reported by the Nasdaq Global Select Market on September 9, 2026, which were $33.53 and $32.08, respectively.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53926/000110465925123261/tm2533836d1_s8.htm" TargetMode="External"/><Relationship Id="rId3" Type="http://schemas.openxmlformats.org/officeDocument/2006/relationships/hyperlink" Target="https://www.sec.gov/Archives/edgar/data/1953926/000110465924100177/tm2332800d24_ex3-1.htm" TargetMode="External"/><Relationship Id="rId4" Type="http://schemas.openxmlformats.org/officeDocument/2006/relationships/hyperlink" Target="https://www.sec.gov/Archives/edgar/data/1953926/000110465924100177/tm2332800d24_ex3-1.htm" TargetMode="External"/><Relationship Id="rId5" Type="http://schemas.openxmlformats.org/officeDocument/2006/relationships/hyperlink" Target="https://www.sec.gov/Archives/edgar/data/1953926/000110465924100177/tm2332800d24_ex3-2.htm" TargetMode="External"/><Relationship Id="rId6" Type="http://schemas.openxmlformats.org/officeDocument/2006/relationships/hyperlink" Target="https://www.sec.gov/Archives/edgar/data/1953926/000110465924100177/tm2332800d24_ex3-2.htm" TargetMode="External"/><Relationship Id="rId7" Type="http://schemas.openxmlformats.org/officeDocument/2006/relationships/hyperlink" Target="https://www.sec.gov/Archives/edgar/data/1953926/000110465925121182/tm2533427d1_ex10-1.htm" TargetMode="External"/><Relationship Id="rId8" Type="http://schemas.openxmlformats.org/officeDocument/2006/relationships/hyperlink" Target="https://www.sec.gov/Archives/edgar/data/1953926/000110465925121182/tm2533427d1_ex10-1.htm" TargetMode="External"/><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1827</Words>
  <Characters>9811</Characters>
  <CharactersWithSpaces>11747</CharactersWithSpaces>
  <Paragraphs>454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